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B4E9E" w14:textId="77777777" w:rsidR="006968B1" w:rsidRDefault="006968B1" w:rsidP="005C23D1"/>
    <w:p w14:paraId="5903CA34" w14:textId="3F9F42D7" w:rsidR="004F4A27" w:rsidRDefault="00FF6128" w:rsidP="00E52BFD">
      <w:pPr>
        <w:pStyle w:val="UNNUMBEREDHEADING1"/>
      </w:pPr>
      <w:r>
        <w:rPr>
          <w:rFonts w:cs="Arial"/>
          <w:szCs w:val="22"/>
        </w:rPr>
        <w:t xml:space="preserve">[           </w:t>
      </w:r>
      <w:proofErr w:type="gramStart"/>
      <w:r>
        <w:rPr>
          <w:rFonts w:cs="Arial"/>
          <w:szCs w:val="22"/>
        </w:rPr>
        <w:t xml:space="preserve">  ]</w:t>
      </w:r>
      <w:proofErr w:type="gramEnd"/>
      <w:r w:rsidR="00E52BFD">
        <w:br/>
      </w:r>
      <w:r w:rsidR="004F4A27">
        <w:t>DOCUMENT RETENTION AND DESTRUCTION POLICY</w:t>
      </w:r>
    </w:p>
    <w:p w14:paraId="01711FAF" w14:textId="77777777" w:rsidR="00E52BFD" w:rsidRDefault="00E52BFD" w:rsidP="004F4A27"/>
    <w:p w14:paraId="6BD93A8A" w14:textId="77777777" w:rsidR="004F4A27" w:rsidRDefault="004F4A27" w:rsidP="00E52BFD">
      <w:pPr>
        <w:pStyle w:val="Heading1"/>
      </w:pPr>
      <w:r>
        <w:t>PURPOSE</w:t>
      </w:r>
    </w:p>
    <w:p w14:paraId="07A7A24B" w14:textId="5617A8F5" w:rsidR="004F4A27" w:rsidRPr="00226BD1" w:rsidRDefault="004F4A27" w:rsidP="00E52BFD">
      <w:pPr>
        <w:pStyle w:val="BodyText"/>
      </w:pPr>
      <w:r>
        <w:t>As a result of its operations,</w:t>
      </w:r>
      <w:r w:rsidR="004C1E4C">
        <w:t xml:space="preserve"> </w:t>
      </w:r>
      <w:r w:rsidR="00FF6128">
        <w:t xml:space="preserve">[           </w:t>
      </w:r>
      <w:proofErr w:type="gramStart"/>
      <w:r w:rsidR="00FF6128">
        <w:t xml:space="preserve">  ]</w:t>
      </w:r>
      <w:proofErr w:type="gramEnd"/>
      <w:r w:rsidR="004C1E4C">
        <w:t xml:space="preserve"> </w:t>
      </w:r>
      <w:r w:rsidR="00B24470" w:rsidRPr="00226BD1">
        <w:t>(</w:t>
      </w:r>
      <w:r w:rsidR="004C1E4C">
        <w:t>“</w:t>
      </w:r>
      <w:r w:rsidR="00C71261">
        <w:t>Corporation</w:t>
      </w:r>
      <w:r w:rsidRPr="00226BD1">
        <w:t>”), internally and externally, generates innumerable records and documents, includ</w:t>
      </w:r>
      <w:r w:rsidR="004C1E4C">
        <w:t>ing</w:t>
      </w:r>
      <w:r w:rsidRPr="00226BD1">
        <w:t xml:space="preserve"> but without limitation, reports, letters, e</w:t>
      </w:r>
      <w:r w:rsidR="000737F9" w:rsidRPr="00226BD1">
        <w:noBreakHyphen/>
      </w:r>
      <w:r w:rsidRPr="00226BD1">
        <w:t xml:space="preserve">mails, forms, charts, analyses and other kinds of documents </w:t>
      </w:r>
      <w:r w:rsidR="00C71261">
        <w:t xml:space="preserve">and records, on a daily basis.  </w:t>
      </w:r>
      <w:r w:rsidRPr="00226BD1">
        <w:t xml:space="preserve">This Document Retention and Destruction Policy (“Policy”) defines which </w:t>
      </w:r>
      <w:r w:rsidR="00C71261">
        <w:t>Corporation</w:t>
      </w:r>
      <w:r w:rsidRPr="00226BD1">
        <w:t xml:space="preserve"> records and documents must be retained for business, operational, legal, or other pertinent purposes, the Retention Period (as defined below) for each type of record (as defined below), and the prescribed destruction procedures in accordance with applicable law.</w:t>
      </w:r>
      <w:r w:rsidR="000737F9" w:rsidRPr="00226BD1">
        <w:t xml:space="preserve">  </w:t>
      </w:r>
    </w:p>
    <w:p w14:paraId="4509D450" w14:textId="77777777" w:rsidR="004F4A27" w:rsidRPr="00226BD1" w:rsidRDefault="004F4A27" w:rsidP="00E52BFD">
      <w:pPr>
        <w:pStyle w:val="BodyText"/>
      </w:pPr>
      <w:r w:rsidRPr="00226BD1">
        <w:t xml:space="preserve">This Policy shall apply to all employees, directors, officers, personnel and other agents and representatives of the </w:t>
      </w:r>
      <w:r w:rsidR="00C71261">
        <w:t>Corporation</w:t>
      </w:r>
      <w:r w:rsidRPr="00226BD1">
        <w:t>.</w:t>
      </w:r>
      <w:r w:rsidR="000737F9" w:rsidRPr="00226BD1">
        <w:t xml:space="preserve">  </w:t>
      </w:r>
    </w:p>
    <w:p w14:paraId="2522DC54" w14:textId="77777777" w:rsidR="004F4A27" w:rsidRDefault="004F4A27" w:rsidP="000737F9">
      <w:pPr>
        <w:pStyle w:val="Heading1"/>
      </w:pPr>
      <w:r>
        <w:t>DEFINITIONS</w:t>
      </w:r>
    </w:p>
    <w:p w14:paraId="456B3F22" w14:textId="77777777" w:rsidR="004F4A27" w:rsidRDefault="004F4A27" w:rsidP="000737F9">
      <w:pPr>
        <w:pStyle w:val="Heading2"/>
      </w:pPr>
      <w:r>
        <w:t>“</w:t>
      </w:r>
      <w:r w:rsidRPr="000737F9">
        <w:rPr>
          <w:b/>
        </w:rPr>
        <w:t>Audit Workpapers</w:t>
      </w:r>
      <w:r>
        <w:t xml:space="preserve">” means any record relevant to an audit or review of the </w:t>
      </w:r>
      <w:r w:rsidR="00C71261">
        <w:t>Corporation</w:t>
      </w:r>
      <w:r w:rsidRPr="00226BD1">
        <w:t>, including</w:t>
      </w:r>
      <w:r>
        <w:t xml:space="preserve"> “workpapers” and other documents that form the basis of an audit or review, and “memoranda, correspondence, communications and other documents and records (inclu</w:t>
      </w:r>
      <w:r w:rsidR="00EE2A56">
        <w:t xml:space="preserve">ding electronic records)” that: </w:t>
      </w:r>
      <w:r>
        <w:t>(1)</w:t>
      </w:r>
      <w:r w:rsidR="000737F9">
        <w:t> </w:t>
      </w:r>
      <w:r>
        <w:t>were created or re-created, sent or received in connection with an audit or review; and (2)</w:t>
      </w:r>
      <w:r w:rsidR="000737F9">
        <w:t> </w:t>
      </w:r>
      <w:r>
        <w:t>contain conclusions, opinions, analyses, or financial data related to an audit or review.</w:t>
      </w:r>
      <w:r w:rsidR="000737F9">
        <w:t xml:space="preserve">  </w:t>
      </w:r>
    </w:p>
    <w:p w14:paraId="3E61D32B" w14:textId="77777777" w:rsidR="004F4A27" w:rsidRDefault="004F4A27" w:rsidP="00E52BFD">
      <w:pPr>
        <w:pStyle w:val="BodyText"/>
      </w:pPr>
      <w:r>
        <w:t>For purposes of the definition of Audit Workpapers, “workpapers” means documentation of auditing or review procedures applied, evidence obtained, and conclusions reached by an accountant in an audit or review engagement</w:t>
      </w:r>
      <w:r w:rsidR="000737F9">
        <w:t xml:space="preserve">.  </w:t>
      </w:r>
    </w:p>
    <w:p w14:paraId="49EEEDF7" w14:textId="77777777" w:rsidR="004F4A27" w:rsidRDefault="004F4A27" w:rsidP="00E52BFD">
      <w:pPr>
        <w:pStyle w:val="BodyText"/>
      </w:pPr>
      <w:r>
        <w:t xml:space="preserve">For purposes of the definition of Audit Workpapers, “memoranda, correspondence, communications and other documents and records (including electronic records)” must be retained </w:t>
      </w:r>
      <w:r w:rsidRPr="00226BD1">
        <w:t xml:space="preserve">by the </w:t>
      </w:r>
      <w:r w:rsidR="00C71261">
        <w:t>Corporation</w:t>
      </w:r>
      <w:r w:rsidRPr="00226BD1">
        <w:t xml:space="preserve"> regardless</w:t>
      </w:r>
      <w:r>
        <w:t xml:space="preserve"> of whether they support an auditor’s final conclusions regarding the audit or review, or contain information or data, relating to a significant matter, that is inconsistent with an auditor’s final conclusions regarding that matter or an audit or review.  Significance of any matter is determined based upon an objective analysis of the facts and circumstances.  Such documents include, but are not limited to, those documenting a consultation on or resolution of differences in professional judgment.</w:t>
      </w:r>
      <w:r w:rsidR="000737F9">
        <w:t xml:space="preserve">  </w:t>
      </w:r>
    </w:p>
    <w:p w14:paraId="6E2BF24C" w14:textId="77777777" w:rsidR="004F4A27" w:rsidRDefault="004F4A27" w:rsidP="000737F9">
      <w:pPr>
        <w:pStyle w:val="Heading2"/>
      </w:pPr>
      <w:r>
        <w:t>“</w:t>
      </w:r>
      <w:r w:rsidRPr="000737F9">
        <w:rPr>
          <w:b/>
        </w:rPr>
        <w:t>Compliance Committee</w:t>
      </w:r>
      <w:r>
        <w:t>” means the committee that is responsible for ensuring this Policy is adhered to.</w:t>
      </w:r>
      <w:r w:rsidR="000737F9">
        <w:t xml:space="preserve">  </w:t>
      </w:r>
    </w:p>
    <w:p w14:paraId="26FB3816" w14:textId="77777777" w:rsidR="004F4A27" w:rsidRDefault="004F4A27" w:rsidP="000737F9">
      <w:pPr>
        <w:pStyle w:val="Heading2"/>
      </w:pPr>
      <w:r>
        <w:t>“</w:t>
      </w:r>
      <w:r w:rsidRPr="000737F9">
        <w:rPr>
          <w:b/>
        </w:rPr>
        <w:t>Event of Suspension</w:t>
      </w:r>
      <w:r>
        <w:t xml:space="preserve">” means, with respect to </w:t>
      </w:r>
      <w:r w:rsidRPr="00226BD1">
        <w:t xml:space="preserve">the </w:t>
      </w:r>
      <w:r w:rsidR="00C71261">
        <w:t>Corporation</w:t>
      </w:r>
      <w:r w:rsidRPr="00226BD1">
        <w:t>, a</w:t>
      </w:r>
      <w:r>
        <w:t xml:space="preserve"> claim of pending, ongoing or threatened litigation, the beginning or contemplation of an investigative proceeding, administrative, judicial or otherwise, or the beginning or contemplation of an audit or review by any applicable governmental authority.</w:t>
      </w:r>
      <w:r w:rsidR="000737F9">
        <w:t xml:space="preserve">  </w:t>
      </w:r>
    </w:p>
    <w:p w14:paraId="0EA35BD1" w14:textId="77777777" w:rsidR="004F4A27" w:rsidRDefault="004F4A27" w:rsidP="000737F9">
      <w:pPr>
        <w:pStyle w:val="Heading2"/>
      </w:pPr>
      <w:r>
        <w:t>“</w:t>
      </w:r>
      <w:r w:rsidRPr="000737F9">
        <w:rPr>
          <w:b/>
        </w:rPr>
        <w:t>Obsolete Record</w:t>
      </w:r>
      <w:r>
        <w:t>” means a record for which the applicable Retention Period has expired.</w:t>
      </w:r>
      <w:r w:rsidR="000737F9">
        <w:t xml:space="preserve">  </w:t>
      </w:r>
    </w:p>
    <w:p w14:paraId="2C0620C4" w14:textId="77777777" w:rsidR="004F4A27" w:rsidRDefault="004F4A27" w:rsidP="000737F9">
      <w:pPr>
        <w:pStyle w:val="Heading2"/>
      </w:pPr>
      <w:r>
        <w:lastRenderedPageBreak/>
        <w:t>“</w:t>
      </w:r>
      <w:r w:rsidRPr="000737F9">
        <w:rPr>
          <w:b/>
        </w:rPr>
        <w:t>Record</w:t>
      </w:r>
      <w:r>
        <w:t xml:space="preserve">” means any generated or received letters, words, numbers or sounds, or their equivalent, set down by handwriting, typewriting, printing, </w:t>
      </w:r>
      <w:proofErr w:type="spellStart"/>
      <w:r>
        <w:t>photostatting</w:t>
      </w:r>
      <w:proofErr w:type="spellEnd"/>
      <w:r>
        <w:t>, photographing, magnetic impulse, mechanical or electronic recording, or other form of data compilation from which information can be obtained, or any copy or print-out thereof, that has sufficient informational value to warrant its retention.  Th</w:t>
      </w:r>
      <w:r w:rsidR="00572685">
        <w:t xml:space="preserve">is definition does not include </w:t>
      </w:r>
      <w:r>
        <w:t>personal records and records routinely discarded in the day-to-day conduct of business, such as “to do” lists, interim drafts and telephone message slips.</w:t>
      </w:r>
      <w:r w:rsidR="00572685">
        <w:t xml:space="preserve">  </w:t>
      </w:r>
    </w:p>
    <w:p w14:paraId="0223CFC1" w14:textId="77777777" w:rsidR="004F4A27" w:rsidRDefault="004F4A27" w:rsidP="000737F9">
      <w:pPr>
        <w:pStyle w:val="Heading2"/>
      </w:pPr>
      <w:r>
        <w:t>“</w:t>
      </w:r>
      <w:r w:rsidRPr="00572685">
        <w:rPr>
          <w:b/>
        </w:rPr>
        <w:t>Retention Period</w:t>
      </w:r>
      <w:r>
        <w:t xml:space="preserve">” means the period of time each Record under the Retention Schedule must be secured and retained by </w:t>
      </w:r>
      <w:r w:rsidRPr="00226BD1">
        <w:t xml:space="preserve">the </w:t>
      </w:r>
      <w:r w:rsidR="00C71261">
        <w:t>Corporation</w:t>
      </w:r>
      <w:r w:rsidRPr="00226BD1">
        <w:t>.</w:t>
      </w:r>
      <w:r w:rsidR="00572685">
        <w:t xml:space="preserve">  </w:t>
      </w:r>
    </w:p>
    <w:p w14:paraId="32E5DCB5" w14:textId="77777777" w:rsidR="004F4A27" w:rsidRDefault="004F4A27" w:rsidP="000737F9">
      <w:pPr>
        <w:pStyle w:val="Heading2"/>
      </w:pPr>
      <w:r>
        <w:t>“</w:t>
      </w:r>
      <w:r w:rsidRPr="00572685">
        <w:rPr>
          <w:b/>
        </w:rPr>
        <w:t>Retention Schedule</w:t>
      </w:r>
      <w:r>
        <w:t>” means the schedule set forth in the Appendix of this Policy illustrating the Retention Period for each Record.</w:t>
      </w:r>
      <w:r w:rsidR="00572685">
        <w:t xml:space="preserve">  </w:t>
      </w:r>
    </w:p>
    <w:p w14:paraId="3750CB12" w14:textId="77777777" w:rsidR="004F4A27" w:rsidRDefault="004F4A27" w:rsidP="00572685">
      <w:pPr>
        <w:pStyle w:val="Heading1"/>
      </w:pPr>
      <w:r>
        <w:t>POLICY</w:t>
      </w:r>
    </w:p>
    <w:p w14:paraId="318B4EAD" w14:textId="77777777" w:rsidR="004F4A27" w:rsidRDefault="004F4A27" w:rsidP="00572685">
      <w:pPr>
        <w:pStyle w:val="Heading2"/>
      </w:pPr>
      <w:r w:rsidRPr="00572685">
        <w:rPr>
          <w:b/>
          <w:u w:val="single"/>
        </w:rPr>
        <w:t>General Policy</w:t>
      </w:r>
      <w:r w:rsidRPr="00572685">
        <w:t>.</w:t>
      </w:r>
      <w:r>
        <w:t xml:space="preserve">  It is he</w:t>
      </w:r>
      <w:r w:rsidR="00226BD1">
        <w:t xml:space="preserve">reby declared the </w:t>
      </w:r>
      <w:r w:rsidR="00226BD1" w:rsidRPr="00226BD1">
        <w:t xml:space="preserve">policy of the </w:t>
      </w:r>
      <w:r w:rsidR="00C71261">
        <w:t>Corporation</w:t>
      </w:r>
      <w:r w:rsidRPr="00226BD1">
        <w:t xml:space="preserve"> to secure, retain and store all Records, as determined by the </w:t>
      </w:r>
      <w:r w:rsidR="00C71261">
        <w:t>Corporation</w:t>
      </w:r>
      <w:r w:rsidRPr="00226BD1">
        <w:t>, for</w:t>
      </w:r>
      <w:r>
        <w:t xml:space="preserve"> the Retention Period in hard copy (paper) or electronic form from and after the Effective Date of this Policy.  If any two or more Retention Periods conflict, all applicable Records must be retained for the greatest Retention Period among those conflicting.  All Obsolete Records no longer required for business or legal purposes must be discarded or destroyed in accordance with the destruction procedure set forth i</w:t>
      </w:r>
      <w:r w:rsidR="00572685">
        <w:t>n Article </w:t>
      </w:r>
      <w:r>
        <w:t xml:space="preserve">IV of this Policy.  All questions regarding the retention or destruction of specific </w:t>
      </w:r>
      <w:r w:rsidRPr="00226BD1">
        <w:t>Records should be directed to the</w:t>
      </w:r>
      <w:r w:rsidR="00EE2A56">
        <w:t xml:space="preserve"> President</w:t>
      </w:r>
      <w:r w:rsidRPr="00226BD1">
        <w:t xml:space="preserve">, Compliance Committee, the </w:t>
      </w:r>
      <w:r w:rsidR="00C71261">
        <w:t>Corporation</w:t>
      </w:r>
      <w:r w:rsidRPr="00226BD1">
        <w:t xml:space="preserve">’s Board of Directors (the “Board”), or legal counsel for the </w:t>
      </w:r>
      <w:r w:rsidR="00C71261">
        <w:t>Corporation</w:t>
      </w:r>
      <w:r w:rsidRPr="00226BD1">
        <w:t>.  This</w:t>
      </w:r>
      <w:r>
        <w:t xml:space="preserve"> Policy was created to achieve t</w:t>
      </w:r>
      <w:r w:rsidR="00572685">
        <w:t>he purposes outlined in Article </w:t>
      </w:r>
      <w:r>
        <w:t xml:space="preserve">I hereof.  Nothing in this </w:t>
      </w:r>
      <w:r w:rsidRPr="00226BD1">
        <w:t xml:space="preserve">Policy is intended to create any express or implied contract of employment or otherwise, with any </w:t>
      </w:r>
      <w:r w:rsidR="00C71261">
        <w:t>Corporation</w:t>
      </w:r>
      <w:r w:rsidRPr="00226BD1">
        <w:t xml:space="preserve"> personnel</w:t>
      </w:r>
      <w:r>
        <w:t xml:space="preserve"> or third party.</w:t>
      </w:r>
      <w:r w:rsidR="00572685">
        <w:t xml:space="preserve">  </w:t>
      </w:r>
    </w:p>
    <w:p w14:paraId="48561438" w14:textId="77777777" w:rsidR="004F4A27" w:rsidRDefault="00C71261" w:rsidP="00572685">
      <w:pPr>
        <w:pStyle w:val="Heading2"/>
      </w:pPr>
      <w:r>
        <w:rPr>
          <w:b/>
          <w:u w:val="single"/>
        </w:rPr>
        <w:t>Corporation</w:t>
      </w:r>
      <w:r w:rsidR="004F4A27" w:rsidRPr="00572685">
        <w:rPr>
          <w:b/>
          <w:u w:val="single"/>
        </w:rPr>
        <w:t xml:space="preserve"> Responsibility</w:t>
      </w:r>
      <w:r w:rsidR="004F4A27">
        <w:t xml:space="preserve">.  The </w:t>
      </w:r>
      <w:r>
        <w:t>Corporation</w:t>
      </w:r>
      <w:r w:rsidR="004F4A27" w:rsidRPr="00226BD1">
        <w:t xml:space="preserve"> is responsible for training its personnel with respect to this Policy, and ensuring all Records produced, held or otherwise maintained by the </w:t>
      </w:r>
      <w:r>
        <w:t>Corporation</w:t>
      </w:r>
      <w:r w:rsidR="004F4A27" w:rsidRPr="00226BD1">
        <w:t xml:space="preserve"> are secured, retained and discarded or destroyed as outlined in this Policy.  The </w:t>
      </w:r>
      <w:r>
        <w:t>Corporation</w:t>
      </w:r>
      <w:r w:rsidR="00226BD1" w:rsidRPr="00226BD1">
        <w:t xml:space="preserve"> </w:t>
      </w:r>
      <w:r w:rsidR="004F4A27" w:rsidRPr="00226BD1">
        <w:t>must maintain a central registry and depository of all retained Records reflecting the Retention Period</w:t>
      </w:r>
      <w:r w:rsidR="004F4A27">
        <w:t xml:space="preserve"> of each Record and indicating the date after which it may be discarded or destroyed.</w:t>
      </w:r>
      <w:r w:rsidR="00572685">
        <w:t xml:space="preserve">  </w:t>
      </w:r>
    </w:p>
    <w:p w14:paraId="29528C3A" w14:textId="77777777" w:rsidR="004F4A27" w:rsidRDefault="004F4A27" w:rsidP="00572685">
      <w:pPr>
        <w:pStyle w:val="Heading2"/>
      </w:pPr>
      <w:r w:rsidRPr="00572685">
        <w:rPr>
          <w:b/>
          <w:u w:val="single"/>
        </w:rPr>
        <w:t>Amendment</w:t>
      </w:r>
      <w:r>
        <w:t xml:space="preserve">.  This Policy may be amended from time to time by the approval of the Board, in conjunction with the consultation of the Compliance Committee and legal counsel in order </w:t>
      </w:r>
      <w:r w:rsidRPr="00226BD1">
        <w:t xml:space="preserve">to reflect changes in the law or </w:t>
      </w:r>
      <w:r w:rsidR="00C71261">
        <w:t>Corporation</w:t>
      </w:r>
      <w:r w:rsidRPr="00226BD1">
        <w:t xml:space="preserve"> Policy, the addition of Records, revision of applicable Retention Periods, or other changes deemed necessary by the </w:t>
      </w:r>
      <w:r w:rsidR="00C71261">
        <w:t>Corporation</w:t>
      </w:r>
      <w:r w:rsidRPr="00226BD1">
        <w:t xml:space="preserve">.  In the event </w:t>
      </w:r>
      <w:r>
        <w:t>that a specific Retention Period for a certain type of Record is not included in the Retention Schedule, the Board or the Compliance Committee must be notified in writing.  The Board</w:t>
      </w:r>
      <w:r w:rsidR="00EE2A56">
        <w:t>,</w:t>
      </w:r>
      <w:r>
        <w:t xml:space="preserve"> in conjunction with the consultation of the Compliance Committee, shall determine the Retention Period for such Record, and this Policy shall be amended, supplemented or otherwise modified to reflect the appropriate retention category.</w:t>
      </w:r>
      <w:r w:rsidR="00572685">
        <w:t xml:space="preserve">  </w:t>
      </w:r>
    </w:p>
    <w:p w14:paraId="5EDA456A" w14:textId="77777777" w:rsidR="004F4A27" w:rsidRDefault="004F4A27" w:rsidP="00572685">
      <w:pPr>
        <w:pStyle w:val="Heading2"/>
      </w:pPr>
      <w:r w:rsidRPr="00572685">
        <w:rPr>
          <w:b/>
          <w:u w:val="single"/>
        </w:rPr>
        <w:t>Oversight; Annual Audit</w:t>
      </w:r>
      <w:r>
        <w:t xml:space="preserve">.  The Compliance Committee and the Board will be responsible for developing and evaluating procedures to ensure that Records from each department (if applicable) and </w:t>
      </w:r>
      <w:r w:rsidR="00C71261">
        <w:t>Corporation</w:t>
      </w:r>
      <w:r w:rsidRPr="00226BD1">
        <w:t>-wide</w:t>
      </w:r>
      <w:r>
        <w:t xml:space="preserve"> are properly secured, retained and discarded or destroyed as outlined in this Policy.  The Compliance Committee will conduct an annual audit of all procedures of </w:t>
      </w:r>
      <w:r w:rsidRPr="00226BD1">
        <w:t xml:space="preserve">the </w:t>
      </w:r>
      <w:r w:rsidR="00C71261">
        <w:t>Corporation</w:t>
      </w:r>
      <w:r w:rsidRPr="00226BD1">
        <w:t xml:space="preserve"> under</w:t>
      </w:r>
      <w:r>
        <w:t xml:space="preserve"> this Poli</w:t>
      </w:r>
      <w:r w:rsidR="00EE2A56">
        <w:t>cy, and recommend to the Board</w:t>
      </w:r>
      <w:r>
        <w:t xml:space="preserve"> any changes necessary to correct any deficiencies.</w:t>
      </w:r>
      <w:r w:rsidR="00572685">
        <w:t xml:space="preserve">  </w:t>
      </w:r>
    </w:p>
    <w:p w14:paraId="76A5E41F" w14:textId="77777777" w:rsidR="004F4A27" w:rsidRDefault="004F4A27" w:rsidP="00572685">
      <w:pPr>
        <w:pStyle w:val="Heading2"/>
      </w:pPr>
      <w:r w:rsidRPr="00572685">
        <w:rPr>
          <w:b/>
          <w:u w:val="single"/>
        </w:rPr>
        <w:lastRenderedPageBreak/>
        <w:t>Electronic Storage</w:t>
      </w:r>
      <w:r>
        <w:t>.</w:t>
      </w:r>
      <w:r w:rsidR="00572685">
        <w:t xml:space="preserve">  </w:t>
      </w:r>
      <w:r>
        <w:t>An electronic storage system is permitted and will be considered compliant with the record</w:t>
      </w:r>
      <w:r w:rsidR="00572685">
        <w:t>keeping requirements of Section </w:t>
      </w:r>
      <w:r>
        <w:t>6001 of the Internal Revenue Code provided all of the requirements set forth in Revenue Procedure 97</w:t>
      </w:r>
      <w:r w:rsidR="00572685">
        <w:noBreakHyphen/>
      </w:r>
      <w:r>
        <w:t>22 are met, including:</w:t>
      </w:r>
    </w:p>
    <w:p w14:paraId="552D79B0" w14:textId="77777777" w:rsidR="004F4A27" w:rsidRDefault="004F4A27" w:rsidP="00572685">
      <w:pPr>
        <w:pStyle w:val="ListBullet"/>
      </w:pPr>
      <w:r>
        <w:t>Reasonable controls to ensure the integrity, accuracy, and reliability of the electronic storage system;</w:t>
      </w:r>
    </w:p>
    <w:p w14:paraId="4CA23BAA" w14:textId="77777777" w:rsidR="004F4A27" w:rsidRDefault="004F4A27" w:rsidP="00572685">
      <w:pPr>
        <w:pStyle w:val="ListBullet"/>
      </w:pPr>
      <w:r>
        <w:t>Reasonable controls to prevent and detect the unauthorized creation of, addition to, alteration of, deletion of, or deterioration of electronically stored books and records;</w:t>
      </w:r>
    </w:p>
    <w:p w14:paraId="06D7C3B9" w14:textId="77777777" w:rsidR="004F4A27" w:rsidRDefault="004F4A27" w:rsidP="00572685">
      <w:pPr>
        <w:pStyle w:val="ListBullet"/>
      </w:pPr>
      <w:r>
        <w:t>An inspection and quality assurance program evidenced by regular evaluations of the electronic storage system including periodic checks of electronically stored books and records;</w:t>
      </w:r>
    </w:p>
    <w:p w14:paraId="1E7C5751" w14:textId="77777777" w:rsidR="004F4A27" w:rsidRDefault="004F4A27" w:rsidP="00572685">
      <w:pPr>
        <w:pStyle w:val="ListBullet"/>
      </w:pPr>
      <w:r>
        <w:t xml:space="preserve">A retrieval system that includes an indexing system (within the meaning of </w:t>
      </w:r>
      <w:r w:rsidR="00EB7714">
        <w:t>Section </w:t>
      </w:r>
      <w:r>
        <w:t>4.0 of Revenue Procedure 97</w:t>
      </w:r>
      <w:r w:rsidR="00EB7714">
        <w:noBreakHyphen/>
      </w:r>
      <w:r>
        <w:t>22); and</w:t>
      </w:r>
    </w:p>
    <w:p w14:paraId="232E805D" w14:textId="77777777" w:rsidR="004F4A27" w:rsidRDefault="004F4A27" w:rsidP="00572685">
      <w:pPr>
        <w:pStyle w:val="ListBullet"/>
      </w:pPr>
      <w:r>
        <w:t xml:space="preserve">The ability to reproduce legible and readable hardcopies (within the meaning of </w:t>
      </w:r>
      <w:r w:rsidR="00EB7714">
        <w:t>Section </w:t>
      </w:r>
      <w:r>
        <w:t>4.01(3) of Revenue Procedure 97</w:t>
      </w:r>
      <w:r w:rsidR="00EB7714">
        <w:noBreakHyphen/>
      </w:r>
      <w:r>
        <w:t>22) of electronically stored books and records.</w:t>
      </w:r>
      <w:r w:rsidR="00EB7714">
        <w:t xml:space="preserve">  </w:t>
      </w:r>
    </w:p>
    <w:p w14:paraId="49FF43A1" w14:textId="77777777" w:rsidR="004F4A27" w:rsidRDefault="004F4A27" w:rsidP="00EB7714">
      <w:pPr>
        <w:pStyle w:val="Heading1"/>
      </w:pPr>
      <w:r>
        <w:t>DESTRUCTION OF RECORDS</w:t>
      </w:r>
    </w:p>
    <w:p w14:paraId="60D25B24" w14:textId="77777777" w:rsidR="004F4A27" w:rsidRDefault="004F4A27" w:rsidP="00E52BFD">
      <w:pPr>
        <w:pStyle w:val="BodyText"/>
      </w:pPr>
      <w:r>
        <w:t xml:space="preserve">All Obsolete Records must be disposed of and destroyed in a secure and confidential manner; </w:t>
      </w:r>
      <w:r w:rsidRPr="00EB7714">
        <w:rPr>
          <w:u w:val="single"/>
        </w:rPr>
        <w:t>provided</w:t>
      </w:r>
      <w:r>
        <w:t xml:space="preserve">, </w:t>
      </w:r>
      <w:r w:rsidRPr="00EB7714">
        <w:rPr>
          <w:u w:val="single"/>
        </w:rPr>
        <w:t>however</w:t>
      </w:r>
      <w:r>
        <w:t>, no Obsolete Record may be disposed of or destroyed prior to obtaining the proper approval from the Compliance Committee, if required, under the Retention Schedule attached as an appendix to this Policy.</w:t>
      </w:r>
      <w:r w:rsidR="00EB7714">
        <w:t xml:space="preserve">  </w:t>
      </w:r>
    </w:p>
    <w:p w14:paraId="00FF6440" w14:textId="77777777" w:rsidR="004F4A27" w:rsidRDefault="004F4A27" w:rsidP="00EB7714">
      <w:pPr>
        <w:pStyle w:val="Heading1"/>
      </w:pPr>
      <w:r>
        <w:t>SUSPENSION OF POLICY UPON EVENT OF SUSPENSION</w:t>
      </w:r>
    </w:p>
    <w:p w14:paraId="60B59B81" w14:textId="77777777" w:rsidR="004F4A27" w:rsidRDefault="004F4A27" w:rsidP="00EB7714">
      <w:pPr>
        <w:pStyle w:val="Heading2"/>
      </w:pPr>
      <w:r w:rsidRPr="00EB7714">
        <w:rPr>
          <w:b/>
          <w:u w:val="single"/>
        </w:rPr>
        <w:t>Suspension of Policy</w:t>
      </w:r>
      <w:r>
        <w:t xml:space="preserve">.  Regardless of the Retention Period for any Record established by this Policy, upon the occurrence of an Event of Suspension, this Policy will be suspended.  Thereafter, any and all Records that refer, relate or pertain to an Event of Suspension must be set aside and retained for use in connection with the pursuit or defense of such Event of Suspension.  All questions regarding the relation of any specific Record to an Event of Suspension should be directed to the Compliance Committee or </w:t>
      </w:r>
      <w:r w:rsidRPr="00226BD1">
        <w:t xml:space="preserve">the </w:t>
      </w:r>
      <w:r w:rsidR="00C71261">
        <w:t>Corporation</w:t>
      </w:r>
      <w:r w:rsidRPr="00226BD1">
        <w:t>’s</w:t>
      </w:r>
      <w:r>
        <w:t xml:space="preserve"> legal counsel.  Other Records, unrelated to an Event of Suspension will continue to be secured, retained, discarded or destroyed as outlined in this Policy.</w:t>
      </w:r>
      <w:r w:rsidR="00EB7714">
        <w:t xml:space="preserve">  </w:t>
      </w:r>
    </w:p>
    <w:p w14:paraId="321B7CCE" w14:textId="77777777" w:rsidR="004F4A27" w:rsidRDefault="004F4A27" w:rsidP="00EB7714">
      <w:pPr>
        <w:pStyle w:val="Heading2"/>
      </w:pPr>
      <w:r w:rsidRPr="00EB7714">
        <w:rPr>
          <w:b/>
          <w:u w:val="single"/>
        </w:rPr>
        <w:t>Alert of Suspension</w:t>
      </w:r>
      <w:r>
        <w:t xml:space="preserve">.  Upon the occurrence of an Event of Suspension, the </w:t>
      </w:r>
      <w:r w:rsidRPr="00226BD1">
        <w:t xml:space="preserve">Compliance Committee or Chairman of the Board will send out an alert by issuing a </w:t>
      </w:r>
      <w:r w:rsidR="00C71261">
        <w:t>Corporation</w:t>
      </w:r>
      <w:r w:rsidRPr="00226BD1">
        <w:t xml:space="preserve">-wide memorandum (hard copy (paper) or electronic) advising all </w:t>
      </w:r>
      <w:r w:rsidR="00C71261">
        <w:t>Corporation</w:t>
      </w:r>
      <w:r w:rsidR="00226BD1" w:rsidRPr="00226BD1">
        <w:t xml:space="preserve"> </w:t>
      </w:r>
      <w:r w:rsidRPr="00226BD1">
        <w:t>personnel to secure, set aside and</w:t>
      </w:r>
      <w:r>
        <w:t xml:space="preserve"> retain all Records that refer, relate or pertain to the Event of Suspension.</w:t>
      </w:r>
      <w:r w:rsidR="00EB7714">
        <w:t xml:space="preserve">  </w:t>
      </w:r>
    </w:p>
    <w:p w14:paraId="638FC114" w14:textId="77777777" w:rsidR="004F4A27" w:rsidRDefault="004F4A27" w:rsidP="00EB7714">
      <w:pPr>
        <w:pStyle w:val="Heading1"/>
      </w:pPr>
      <w:r>
        <w:t>ENFORCEMENT</w:t>
      </w:r>
    </w:p>
    <w:p w14:paraId="1CEEF8BB" w14:textId="77777777" w:rsidR="004F4A27" w:rsidRDefault="004F4A27" w:rsidP="00EB7714">
      <w:pPr>
        <w:pStyle w:val="Heading2"/>
      </w:pPr>
      <w:r w:rsidRPr="00EB7714">
        <w:rPr>
          <w:b/>
          <w:u w:val="single"/>
        </w:rPr>
        <w:t>General</w:t>
      </w:r>
      <w:r>
        <w:t xml:space="preserve">.  All employees, directors, officers, personnel and other agents and representatives of the </w:t>
      </w:r>
      <w:r w:rsidR="00C71261">
        <w:t>Corporation</w:t>
      </w:r>
      <w:r w:rsidRPr="00226BD1">
        <w:t xml:space="preserve"> are subject to, and expected to comply with the terms of, this Policy. </w:t>
      </w:r>
      <w:r w:rsidR="00EB7714" w:rsidRPr="00226BD1">
        <w:t xml:space="preserve"> </w:t>
      </w:r>
      <w:r w:rsidRPr="00226BD1">
        <w:t xml:space="preserve">Any violation or breach of this Policy may result in disciplinary action, including possible </w:t>
      </w:r>
      <w:r w:rsidRPr="00226BD1">
        <w:lastRenderedPageBreak/>
        <w:t xml:space="preserve">termination of employment with the </w:t>
      </w:r>
      <w:r w:rsidR="00C71261">
        <w:t>Corporation</w:t>
      </w:r>
      <w:r w:rsidRPr="00226BD1">
        <w:t xml:space="preserve"> or criminal prosecution for federal obstruction of justice charges.  The Board and the Compliance Committee will investigate any reported or suspected violation of this Policy and will oversee an appropriate response, including corrective, disciplinary and preventative measures. </w:t>
      </w:r>
      <w:r w:rsidR="00EB7714" w:rsidRPr="00226BD1">
        <w:t xml:space="preserve"> </w:t>
      </w:r>
      <w:r w:rsidRPr="00226BD1">
        <w:t>Notwithstanding the foregoing, the Board has</w:t>
      </w:r>
      <w:r>
        <w:t xml:space="preserve"> the exclusive responsibility for the final interpretation of this Policy.</w:t>
      </w:r>
      <w:r w:rsidR="00EB7714">
        <w:t xml:space="preserve">  </w:t>
      </w:r>
    </w:p>
    <w:p w14:paraId="16C8D6F5" w14:textId="77777777" w:rsidR="004F4A27" w:rsidRPr="00226BD1" w:rsidRDefault="004F4A27" w:rsidP="00EB7714">
      <w:pPr>
        <w:pStyle w:val="Heading2"/>
      </w:pPr>
      <w:r w:rsidRPr="00EB7714">
        <w:rPr>
          <w:b/>
          <w:u w:val="single"/>
        </w:rPr>
        <w:t>Reporting Violations</w:t>
      </w:r>
      <w:r>
        <w:t xml:space="preserve">.  Directors and officers of </w:t>
      </w:r>
      <w:r w:rsidRPr="00226BD1">
        <w:t xml:space="preserve">the </w:t>
      </w:r>
      <w:r w:rsidR="00C71261">
        <w:t>Corporation</w:t>
      </w:r>
      <w:r w:rsidRPr="00226BD1">
        <w:t xml:space="preserve"> should report in person or in writing any known or suspected violation of this Policy to the Board.  All other employees, personnel and other agents and representatives of the </w:t>
      </w:r>
      <w:r w:rsidR="00C71261">
        <w:t>Corporation</w:t>
      </w:r>
      <w:r w:rsidRPr="00226BD1">
        <w:t xml:space="preserve"> should report in person or in writing any known or suspected violation of this Policy to the </w:t>
      </w:r>
      <w:r w:rsidR="00EE2A56">
        <w:t>President</w:t>
      </w:r>
      <w:r w:rsidRPr="00226BD1">
        <w:t xml:space="preserve"> or Compliance Committee of the </w:t>
      </w:r>
      <w:r w:rsidR="00C71261">
        <w:t>Corporation</w:t>
      </w:r>
      <w:r w:rsidRPr="00226BD1">
        <w:t xml:space="preserve">.  Any known or suspected violation of this Policy may be reported anonymously by following the procedures established by the </w:t>
      </w:r>
      <w:r w:rsidR="00C71261">
        <w:t>Corporation</w:t>
      </w:r>
      <w:r w:rsidRPr="00226BD1">
        <w:t xml:space="preserve">’s Whistleblower Policy.  The </w:t>
      </w:r>
      <w:r w:rsidR="00C71261">
        <w:t>Corporation</w:t>
      </w:r>
      <w:r w:rsidRPr="00226BD1">
        <w:t xml:space="preserve"> will not allow any retaliation against an employee, director, officer, agent or representative who acts in good faith in reporting any such violation or suspected violation.</w:t>
      </w:r>
      <w:r w:rsidR="00EB7714" w:rsidRPr="00226BD1">
        <w:t xml:space="preserve">  </w:t>
      </w:r>
    </w:p>
    <w:p w14:paraId="31EB313F" w14:textId="3C9DCC23" w:rsidR="004F4A27" w:rsidRPr="00226BD1" w:rsidRDefault="004F4A27" w:rsidP="00E52BFD">
      <w:pPr>
        <w:pStyle w:val="BodyText"/>
      </w:pPr>
      <w:r w:rsidRPr="00226BD1">
        <w:t>The foregoing Policy was adopted b</w:t>
      </w:r>
      <w:r w:rsidR="00226BD1" w:rsidRPr="00226BD1">
        <w:t xml:space="preserve">y the Board </w:t>
      </w:r>
      <w:r w:rsidR="002B520E">
        <w:t xml:space="preserve">to be effective </w:t>
      </w:r>
      <w:r w:rsidRPr="00226BD1">
        <w:t xml:space="preserve">on the </w:t>
      </w:r>
      <w:r w:rsidR="0092721C">
        <w:t>___</w:t>
      </w:r>
      <w:r w:rsidR="002B520E">
        <w:t xml:space="preserve"> </w:t>
      </w:r>
      <w:r w:rsidRPr="00226BD1">
        <w:t xml:space="preserve">day of </w:t>
      </w:r>
      <w:r w:rsidR="002B520E">
        <w:t>December</w:t>
      </w:r>
      <w:r w:rsidRPr="00226BD1">
        <w:t>, 20</w:t>
      </w:r>
      <w:r w:rsidR="00FF6128">
        <w:t>__</w:t>
      </w:r>
      <w:r w:rsidRPr="00226BD1">
        <w:t>.</w:t>
      </w:r>
      <w:r w:rsidR="00EB7714" w:rsidRPr="00226BD1">
        <w:t xml:space="preserve">  </w:t>
      </w:r>
    </w:p>
    <w:p w14:paraId="26CD193A" w14:textId="77777777" w:rsidR="004F4A27" w:rsidRDefault="004F4A27" w:rsidP="00EB7714"/>
    <w:p w14:paraId="254D89A8" w14:textId="77777777" w:rsidR="004F4A27" w:rsidRDefault="00EB7714" w:rsidP="00EB7714">
      <w:r>
        <w:br w:type="page"/>
      </w:r>
    </w:p>
    <w:p w14:paraId="2AA6C5BA" w14:textId="77777777" w:rsidR="004F4A27" w:rsidRPr="00EB7714" w:rsidRDefault="004F4A27" w:rsidP="00EB7714">
      <w:pPr>
        <w:pStyle w:val="UNNUMBEREDHEADING1"/>
        <w:rPr>
          <w:u w:val="single"/>
        </w:rPr>
      </w:pPr>
      <w:r w:rsidRPr="00EB7714">
        <w:rPr>
          <w:u w:val="single"/>
        </w:rPr>
        <w:lastRenderedPageBreak/>
        <w:t>APPENDIX</w:t>
      </w:r>
    </w:p>
    <w:p w14:paraId="5AFC4649" w14:textId="77777777" w:rsidR="004F4A27" w:rsidRPr="00EB7714" w:rsidRDefault="004F4A27" w:rsidP="00EB7714">
      <w:pPr>
        <w:pStyle w:val="UNNUMBEREDHEADING1"/>
        <w:rPr>
          <w:u w:val="single"/>
        </w:rPr>
      </w:pPr>
      <w:r w:rsidRPr="00EB7714">
        <w:rPr>
          <w:u w:val="single"/>
        </w:rPr>
        <w:t>RETENTION SCHEDULE</w:t>
      </w:r>
    </w:p>
    <w:p w14:paraId="1B2156EF" w14:textId="77777777" w:rsidR="00EB7714" w:rsidRDefault="00EB7714" w:rsidP="00EB7714"/>
    <w:p w14:paraId="6910BE54" w14:textId="77777777" w:rsidR="004F4A27" w:rsidRDefault="004F4A27" w:rsidP="00E52BFD">
      <w:pPr>
        <w:pStyle w:val="BodyText"/>
      </w:pPr>
      <w:r>
        <w:t xml:space="preserve">The Retention Schedule categorizes the records and documents into broad functioning retention categories.  These retention categories are assigned Retention Periods, which apply to all Records of the </w:t>
      </w:r>
      <w:r w:rsidR="00C71261">
        <w:t>Corporation</w:t>
      </w:r>
      <w:r w:rsidRPr="00F1273C">
        <w:t xml:space="preserve">.  The </w:t>
      </w:r>
      <w:r w:rsidR="00C71261">
        <w:t>Corporation</w:t>
      </w:r>
      <w:r w:rsidRPr="00F1273C">
        <w:t>’s Retention Schedule, which is encompassed and incorporated herein, provides reasonable requirements</w:t>
      </w:r>
      <w:r>
        <w:t xml:space="preserve"> intended to ensure uniformity and legal compliance.  While actual Retention Periods are specified below, the retention of Records not included in the identified retention categories should be determined primarily by the application of the general principles and guidelines set forth in this Policy, as well as any other pertinent factors.  After expiration of the retention period for a particular category of documents, the documents shall be destroyed pursua</w:t>
      </w:r>
      <w:r w:rsidR="00EB7714">
        <w:t>nt to Article </w:t>
      </w:r>
      <w:r>
        <w:t>IV of this Policy, unless there is a suspension of this Policy due to an Event of</w:t>
      </w:r>
      <w:r w:rsidR="00EB7714">
        <w:t xml:space="preserve"> Suspension pursuant to Article </w:t>
      </w:r>
      <w:r>
        <w:t>VI of this Policy.</w:t>
      </w:r>
      <w:r w:rsidR="00EB7714">
        <w:t xml:space="preserve">  </w:t>
      </w:r>
    </w:p>
    <w:tbl>
      <w:tblPr>
        <w:tblStyle w:val="TableGrid"/>
        <w:tblW w:w="0" w:type="auto"/>
        <w:tblLayout w:type="fixed"/>
        <w:tblCellMar>
          <w:left w:w="115" w:type="dxa"/>
          <w:right w:w="115" w:type="dxa"/>
        </w:tblCellMar>
        <w:tblLook w:val="01E0" w:firstRow="1" w:lastRow="1" w:firstColumn="1" w:lastColumn="1" w:noHBand="0" w:noVBand="0"/>
      </w:tblPr>
      <w:tblGrid>
        <w:gridCol w:w="4788"/>
        <w:gridCol w:w="4788"/>
      </w:tblGrid>
      <w:tr w:rsidR="00CD039F" w:rsidRPr="00DB6C79" w14:paraId="0DF7945C" w14:textId="77777777" w:rsidTr="00DB6C79">
        <w:trPr>
          <w:cantSplit/>
          <w:tblHeader/>
        </w:trPr>
        <w:tc>
          <w:tcPr>
            <w:tcW w:w="4788" w:type="dxa"/>
          </w:tcPr>
          <w:p w14:paraId="42627C80" w14:textId="77777777" w:rsidR="00CD039F" w:rsidRPr="00DB6C79" w:rsidRDefault="00CD039F" w:rsidP="00DB6C79">
            <w:pPr>
              <w:pStyle w:val="TableText"/>
              <w:rPr>
                <w:b/>
              </w:rPr>
            </w:pPr>
            <w:r w:rsidRPr="00DB6C79">
              <w:rPr>
                <w:b/>
              </w:rPr>
              <w:t>Description of Records</w:t>
            </w:r>
          </w:p>
        </w:tc>
        <w:tc>
          <w:tcPr>
            <w:tcW w:w="4788" w:type="dxa"/>
          </w:tcPr>
          <w:p w14:paraId="574F0820" w14:textId="77777777" w:rsidR="00CD039F" w:rsidRPr="00DB6C79" w:rsidRDefault="00CD039F" w:rsidP="00DB6C79">
            <w:pPr>
              <w:pStyle w:val="TableText"/>
              <w:rPr>
                <w:b/>
              </w:rPr>
            </w:pPr>
            <w:r w:rsidRPr="00DB6C79">
              <w:rPr>
                <w:b/>
              </w:rPr>
              <w:t>Retention Period</w:t>
            </w:r>
          </w:p>
        </w:tc>
      </w:tr>
      <w:tr w:rsidR="00CB2915" w:rsidRPr="00CD039F" w14:paraId="10BA8840" w14:textId="77777777" w:rsidTr="00CE1E71">
        <w:trPr>
          <w:cantSplit/>
        </w:trPr>
        <w:tc>
          <w:tcPr>
            <w:tcW w:w="9576" w:type="dxa"/>
            <w:gridSpan w:val="2"/>
          </w:tcPr>
          <w:p w14:paraId="6E035400" w14:textId="77777777" w:rsidR="00CB2915" w:rsidRPr="00CD039F" w:rsidRDefault="00CB2915" w:rsidP="002D30EC">
            <w:pPr>
              <w:pStyle w:val="Heading7"/>
              <w:keepNext/>
            </w:pPr>
            <w:r w:rsidRPr="00CD039F">
              <w:t>Accounting and Finance</w:t>
            </w:r>
          </w:p>
        </w:tc>
      </w:tr>
      <w:tr w:rsidR="00CD039F" w:rsidRPr="00CD039F" w14:paraId="6855C574" w14:textId="77777777" w:rsidTr="00CD039F">
        <w:trPr>
          <w:cantSplit/>
        </w:trPr>
        <w:tc>
          <w:tcPr>
            <w:tcW w:w="4788" w:type="dxa"/>
          </w:tcPr>
          <w:p w14:paraId="5F09C9A7" w14:textId="77777777" w:rsidR="00CD039F" w:rsidRPr="00CD039F" w:rsidRDefault="00CD039F" w:rsidP="00DB6C79">
            <w:pPr>
              <w:pStyle w:val="Heading8"/>
            </w:pPr>
            <w:r w:rsidRPr="00CD039F">
              <w:t>Audit Workpapers</w:t>
            </w:r>
          </w:p>
        </w:tc>
        <w:tc>
          <w:tcPr>
            <w:tcW w:w="4788" w:type="dxa"/>
          </w:tcPr>
          <w:p w14:paraId="1589F3AC" w14:textId="77777777" w:rsidR="00CD039F" w:rsidRPr="00CD039F" w:rsidRDefault="00DB6C79" w:rsidP="00DB6C79">
            <w:pPr>
              <w:pStyle w:val="TableText"/>
              <w:spacing w:before="240"/>
            </w:pPr>
            <w:r>
              <w:t>7 </w:t>
            </w:r>
            <w:r w:rsidR="00CD039F" w:rsidRPr="00CD039F">
              <w:t>years from the conclusion of an audit or review</w:t>
            </w:r>
            <w:r>
              <w:rPr>
                <w:rStyle w:val="FootnoteReference"/>
              </w:rPr>
              <w:footnoteReference w:id="1"/>
            </w:r>
          </w:p>
        </w:tc>
      </w:tr>
      <w:tr w:rsidR="00CD039F" w:rsidRPr="00CD039F" w14:paraId="039FEF23" w14:textId="77777777" w:rsidTr="00CD039F">
        <w:trPr>
          <w:cantSplit/>
        </w:trPr>
        <w:tc>
          <w:tcPr>
            <w:tcW w:w="4788" w:type="dxa"/>
          </w:tcPr>
          <w:p w14:paraId="3D84E748" w14:textId="77777777" w:rsidR="00CD039F" w:rsidRDefault="00DB6C79" w:rsidP="00DB6C79">
            <w:pPr>
              <w:pStyle w:val="Heading8"/>
            </w:pPr>
            <w:r w:rsidRPr="00CD039F">
              <w:t xml:space="preserve">general </w:t>
            </w:r>
            <w:r w:rsidR="00CD039F" w:rsidRPr="00CD039F">
              <w:t>ledger reports, including:</w:t>
            </w:r>
          </w:p>
          <w:p w14:paraId="2EA97D77" w14:textId="77777777" w:rsidR="00DB6C79" w:rsidRDefault="00DB6C79" w:rsidP="00DB6C79">
            <w:pPr>
              <w:pStyle w:val="ListBullet2"/>
            </w:pPr>
            <w:r w:rsidRPr="00CD039F">
              <w:t>trial balances</w:t>
            </w:r>
          </w:p>
          <w:p w14:paraId="373EFC92" w14:textId="77777777" w:rsidR="00DB6C79" w:rsidRPr="00CD039F" w:rsidRDefault="00DB6C79" w:rsidP="00DB6C79">
            <w:pPr>
              <w:pStyle w:val="ListBullet2"/>
            </w:pPr>
            <w:r w:rsidRPr="00CD039F">
              <w:t>journal entries</w:t>
            </w:r>
          </w:p>
        </w:tc>
        <w:tc>
          <w:tcPr>
            <w:tcW w:w="4788" w:type="dxa"/>
          </w:tcPr>
          <w:p w14:paraId="066C4BAD" w14:textId="77777777" w:rsidR="00CD039F" w:rsidRPr="00CD039F" w:rsidRDefault="00DB6C79" w:rsidP="00DB6C79">
            <w:pPr>
              <w:pStyle w:val="TableText"/>
              <w:spacing w:before="240"/>
            </w:pPr>
            <w:r>
              <w:t>7 </w:t>
            </w:r>
            <w:r w:rsidRPr="00CD039F">
              <w:t>years</w:t>
            </w:r>
            <w:r>
              <w:rPr>
                <w:rStyle w:val="FootnoteReference"/>
              </w:rPr>
              <w:footnoteReference w:id="2"/>
            </w:r>
          </w:p>
        </w:tc>
      </w:tr>
      <w:tr w:rsidR="00CD039F" w:rsidRPr="00CD039F" w14:paraId="0D03DF42" w14:textId="77777777" w:rsidTr="00CD039F">
        <w:trPr>
          <w:cantSplit/>
        </w:trPr>
        <w:tc>
          <w:tcPr>
            <w:tcW w:w="4788" w:type="dxa"/>
          </w:tcPr>
          <w:p w14:paraId="29A5C98A" w14:textId="77777777" w:rsidR="00CD039F" w:rsidRDefault="00CD039F" w:rsidP="00DB6C79">
            <w:pPr>
              <w:pStyle w:val="Heading8"/>
            </w:pPr>
            <w:r w:rsidRPr="00CD039F">
              <w:t>accounts receivable documents, including:</w:t>
            </w:r>
          </w:p>
          <w:p w14:paraId="583172F8" w14:textId="77777777" w:rsidR="00DB6C79" w:rsidRDefault="00DB6C79" w:rsidP="00DB6C79">
            <w:pPr>
              <w:pStyle w:val="ListBullet2"/>
            </w:pPr>
            <w:r w:rsidRPr="00CD039F">
              <w:t>billing registers</w:t>
            </w:r>
          </w:p>
          <w:p w14:paraId="7C148B00" w14:textId="77777777" w:rsidR="00DB6C79" w:rsidRDefault="00DB6C79" w:rsidP="00DB6C79">
            <w:pPr>
              <w:pStyle w:val="ListBullet2"/>
            </w:pPr>
            <w:r w:rsidRPr="00CD039F">
              <w:t>cash application registers</w:t>
            </w:r>
          </w:p>
          <w:p w14:paraId="3B258951" w14:textId="77777777" w:rsidR="00DB6C79" w:rsidRDefault="00DB6C79" w:rsidP="00DB6C79">
            <w:pPr>
              <w:pStyle w:val="ListBullet2"/>
            </w:pPr>
            <w:r w:rsidRPr="00CD039F">
              <w:t>aging reports</w:t>
            </w:r>
          </w:p>
          <w:p w14:paraId="2A11CE41" w14:textId="77777777" w:rsidR="00DB6C79" w:rsidRDefault="00DB6C79" w:rsidP="00DB6C79">
            <w:pPr>
              <w:pStyle w:val="ListBullet2"/>
            </w:pPr>
            <w:r w:rsidRPr="00CD039F">
              <w:t>invoices</w:t>
            </w:r>
          </w:p>
          <w:p w14:paraId="082267B0" w14:textId="77777777" w:rsidR="00DB6C79" w:rsidRDefault="00DB6C79" w:rsidP="00DB6C79">
            <w:pPr>
              <w:pStyle w:val="ListBullet2"/>
            </w:pPr>
            <w:r w:rsidRPr="00CD039F">
              <w:t>drafts and checks</w:t>
            </w:r>
          </w:p>
          <w:p w14:paraId="2AF076C6" w14:textId="77777777" w:rsidR="00DB6C79" w:rsidRPr="00CD039F" w:rsidRDefault="00DB6C79" w:rsidP="00DB6C79">
            <w:pPr>
              <w:pStyle w:val="ListBullet2"/>
            </w:pPr>
            <w:r w:rsidRPr="00CD039F">
              <w:t>authorization for writing off receivables</w:t>
            </w:r>
          </w:p>
        </w:tc>
        <w:tc>
          <w:tcPr>
            <w:tcW w:w="4788" w:type="dxa"/>
          </w:tcPr>
          <w:p w14:paraId="6609475E" w14:textId="77777777" w:rsidR="00CD039F" w:rsidRPr="00CD039F" w:rsidRDefault="00CB2915" w:rsidP="00DB6C79">
            <w:pPr>
              <w:pStyle w:val="TableText"/>
              <w:spacing w:before="240"/>
            </w:pPr>
            <w:r>
              <w:t>7 </w:t>
            </w:r>
            <w:r w:rsidR="00DB6C79" w:rsidRPr="00CD039F">
              <w:t>years</w:t>
            </w:r>
          </w:p>
        </w:tc>
      </w:tr>
      <w:tr w:rsidR="00CD039F" w:rsidRPr="00CD039F" w14:paraId="6DCA25B5" w14:textId="77777777" w:rsidTr="00CD039F">
        <w:trPr>
          <w:cantSplit/>
        </w:trPr>
        <w:tc>
          <w:tcPr>
            <w:tcW w:w="4788" w:type="dxa"/>
          </w:tcPr>
          <w:p w14:paraId="68988EFC" w14:textId="77777777" w:rsidR="00CD039F" w:rsidRDefault="00CD039F" w:rsidP="00CB2915">
            <w:pPr>
              <w:pStyle w:val="Heading8"/>
            </w:pPr>
            <w:r w:rsidRPr="00CD039F">
              <w:t>accounts payable documents including:</w:t>
            </w:r>
          </w:p>
          <w:p w14:paraId="3FB2599A" w14:textId="77777777" w:rsidR="00CB2915" w:rsidRDefault="00CB2915" w:rsidP="00CB2915">
            <w:pPr>
              <w:pStyle w:val="ListBullet2"/>
            </w:pPr>
            <w:r w:rsidRPr="00CD039F">
              <w:t>check registers</w:t>
            </w:r>
          </w:p>
          <w:p w14:paraId="38242CAE" w14:textId="77777777" w:rsidR="00CB2915" w:rsidRDefault="00CB2915" w:rsidP="00CB2915">
            <w:pPr>
              <w:pStyle w:val="ListBullet2"/>
            </w:pPr>
            <w:r w:rsidRPr="00CD039F">
              <w:t>aging reports</w:t>
            </w:r>
          </w:p>
          <w:p w14:paraId="5ED2F0D7" w14:textId="77777777" w:rsidR="00CB2915" w:rsidRPr="00CD039F" w:rsidRDefault="00CB2915" w:rsidP="00CB2915">
            <w:pPr>
              <w:pStyle w:val="ListBullet2"/>
            </w:pPr>
            <w:r w:rsidRPr="00CD039F">
              <w:t>invoices from suppliers and service providers</w:t>
            </w:r>
          </w:p>
        </w:tc>
        <w:tc>
          <w:tcPr>
            <w:tcW w:w="4788" w:type="dxa"/>
          </w:tcPr>
          <w:p w14:paraId="5D6E5BF1" w14:textId="77777777" w:rsidR="00CD039F" w:rsidRPr="00CD039F" w:rsidRDefault="00CB2915" w:rsidP="00DB6C79">
            <w:pPr>
              <w:pStyle w:val="TableText"/>
              <w:spacing w:before="240"/>
            </w:pPr>
            <w:r>
              <w:t>7 </w:t>
            </w:r>
            <w:r w:rsidRPr="00CD039F">
              <w:t>years</w:t>
            </w:r>
          </w:p>
        </w:tc>
      </w:tr>
      <w:tr w:rsidR="00CD039F" w:rsidRPr="00CD039F" w14:paraId="27247063" w14:textId="77777777" w:rsidTr="00CD039F">
        <w:trPr>
          <w:cantSplit/>
        </w:trPr>
        <w:tc>
          <w:tcPr>
            <w:tcW w:w="4788" w:type="dxa"/>
          </w:tcPr>
          <w:p w14:paraId="7F1585F0" w14:textId="77777777" w:rsidR="00CD039F" w:rsidRPr="00CD039F" w:rsidRDefault="00CD039F" w:rsidP="00CB2915">
            <w:pPr>
              <w:pStyle w:val="Heading8"/>
            </w:pPr>
            <w:r w:rsidRPr="00CD039F">
              <w:t>annual plans and budgets</w:t>
            </w:r>
          </w:p>
        </w:tc>
        <w:tc>
          <w:tcPr>
            <w:tcW w:w="4788" w:type="dxa"/>
          </w:tcPr>
          <w:p w14:paraId="77C04BAF" w14:textId="77777777" w:rsidR="00CD039F" w:rsidRPr="00CD039F" w:rsidRDefault="00CB2915" w:rsidP="00DB6C79">
            <w:pPr>
              <w:pStyle w:val="TableText"/>
              <w:spacing w:before="240"/>
            </w:pPr>
            <w:r>
              <w:t>2 </w:t>
            </w:r>
            <w:r w:rsidR="00CD039F" w:rsidRPr="00CD039F">
              <w:t>years</w:t>
            </w:r>
          </w:p>
        </w:tc>
      </w:tr>
      <w:tr w:rsidR="00CD039F" w:rsidRPr="00CD039F" w14:paraId="752762AA" w14:textId="77777777" w:rsidTr="00CD039F">
        <w:trPr>
          <w:cantSplit/>
        </w:trPr>
        <w:tc>
          <w:tcPr>
            <w:tcW w:w="4788" w:type="dxa"/>
          </w:tcPr>
          <w:p w14:paraId="3BF84A86" w14:textId="77777777" w:rsidR="00CD039F" w:rsidRPr="00CD039F" w:rsidRDefault="00CD039F" w:rsidP="00CB2915">
            <w:pPr>
              <w:pStyle w:val="Heading8"/>
            </w:pPr>
            <w:r w:rsidRPr="00CD039F">
              <w:t>appropriation requests</w:t>
            </w:r>
          </w:p>
        </w:tc>
        <w:tc>
          <w:tcPr>
            <w:tcW w:w="4788" w:type="dxa"/>
          </w:tcPr>
          <w:p w14:paraId="3F4FD83D" w14:textId="77777777" w:rsidR="00CD039F" w:rsidRPr="00CD039F" w:rsidRDefault="00CB2915" w:rsidP="00DB6C79">
            <w:pPr>
              <w:pStyle w:val="TableText"/>
              <w:spacing w:before="240"/>
            </w:pPr>
            <w:r>
              <w:t>1 </w:t>
            </w:r>
            <w:r w:rsidR="00CD039F" w:rsidRPr="00CD039F">
              <w:t>year after post-completion review</w:t>
            </w:r>
          </w:p>
        </w:tc>
      </w:tr>
      <w:tr w:rsidR="00CD039F" w:rsidRPr="00CD039F" w14:paraId="6339B549" w14:textId="77777777" w:rsidTr="00CD039F">
        <w:trPr>
          <w:cantSplit/>
        </w:trPr>
        <w:tc>
          <w:tcPr>
            <w:tcW w:w="4788" w:type="dxa"/>
          </w:tcPr>
          <w:p w14:paraId="0301110B" w14:textId="77777777" w:rsidR="00CD039F" w:rsidRPr="00CD039F" w:rsidRDefault="00CD039F" w:rsidP="00CB2915">
            <w:pPr>
              <w:pStyle w:val="Heading8"/>
            </w:pPr>
            <w:r w:rsidRPr="00CD039F">
              <w:lastRenderedPageBreak/>
              <w:t>census bureaus and other governmental surveys</w:t>
            </w:r>
          </w:p>
        </w:tc>
        <w:tc>
          <w:tcPr>
            <w:tcW w:w="4788" w:type="dxa"/>
          </w:tcPr>
          <w:p w14:paraId="5AF77B15" w14:textId="77777777" w:rsidR="00CD039F" w:rsidRPr="00CD039F" w:rsidRDefault="00CB2915" w:rsidP="00DB6C79">
            <w:pPr>
              <w:pStyle w:val="TableText"/>
              <w:spacing w:before="240"/>
            </w:pPr>
            <w:r>
              <w:t>7 </w:t>
            </w:r>
            <w:r w:rsidR="00CD039F" w:rsidRPr="00CD039F">
              <w:t>years</w:t>
            </w:r>
          </w:p>
        </w:tc>
      </w:tr>
      <w:tr w:rsidR="00CD039F" w:rsidRPr="00CD039F" w14:paraId="2E14E2D5" w14:textId="77777777" w:rsidTr="00CD039F">
        <w:trPr>
          <w:cantSplit/>
        </w:trPr>
        <w:tc>
          <w:tcPr>
            <w:tcW w:w="4788" w:type="dxa"/>
          </w:tcPr>
          <w:p w14:paraId="37ECAE80" w14:textId="77777777" w:rsidR="00CD039F" w:rsidRPr="00CD039F" w:rsidRDefault="00CD039F" w:rsidP="00CB2915">
            <w:pPr>
              <w:pStyle w:val="Heading8"/>
            </w:pPr>
            <w:r w:rsidRPr="00CD039F">
              <w:t>officer, directors and employee expense reports</w:t>
            </w:r>
          </w:p>
        </w:tc>
        <w:tc>
          <w:tcPr>
            <w:tcW w:w="4788" w:type="dxa"/>
          </w:tcPr>
          <w:p w14:paraId="0DEF3D71" w14:textId="77777777" w:rsidR="00CD039F" w:rsidRPr="00CD039F" w:rsidRDefault="00CD039F" w:rsidP="00DB6C79">
            <w:pPr>
              <w:pStyle w:val="TableText"/>
              <w:spacing w:before="240"/>
            </w:pPr>
            <w:r w:rsidRPr="00CD039F">
              <w:t>permanent</w:t>
            </w:r>
            <w:r w:rsidRPr="00CB2915">
              <w:rPr>
                <w:vertAlign w:val="superscript"/>
              </w:rPr>
              <w:t>2</w:t>
            </w:r>
          </w:p>
        </w:tc>
      </w:tr>
      <w:tr w:rsidR="00CD039F" w:rsidRPr="00CD039F" w14:paraId="11911C4D" w14:textId="77777777" w:rsidTr="00CD039F">
        <w:trPr>
          <w:cantSplit/>
        </w:trPr>
        <w:tc>
          <w:tcPr>
            <w:tcW w:w="4788" w:type="dxa"/>
          </w:tcPr>
          <w:p w14:paraId="724EC37E" w14:textId="77777777" w:rsidR="00CD039F" w:rsidRPr="00CD039F" w:rsidRDefault="00CD039F" w:rsidP="00CB2915">
            <w:pPr>
              <w:pStyle w:val="Heading8"/>
            </w:pPr>
            <w:r w:rsidRPr="00CD039F">
              <w:t>general journals and other posting and control media subsidiary to the general ledgers</w:t>
            </w:r>
          </w:p>
        </w:tc>
        <w:tc>
          <w:tcPr>
            <w:tcW w:w="4788" w:type="dxa"/>
          </w:tcPr>
          <w:p w14:paraId="52AEA8DE" w14:textId="77777777" w:rsidR="00CD039F" w:rsidRPr="00CD039F" w:rsidRDefault="00CB2915" w:rsidP="00DB6C79">
            <w:pPr>
              <w:pStyle w:val="TableText"/>
              <w:spacing w:before="240"/>
            </w:pPr>
            <w:r>
              <w:t>7 </w:t>
            </w:r>
            <w:r w:rsidR="00CD039F" w:rsidRPr="00CD039F">
              <w:t>years</w:t>
            </w:r>
          </w:p>
        </w:tc>
      </w:tr>
      <w:tr w:rsidR="00CD039F" w:rsidRPr="00CD039F" w14:paraId="68910877" w14:textId="77777777" w:rsidTr="00CD039F">
        <w:trPr>
          <w:cantSplit/>
        </w:trPr>
        <w:tc>
          <w:tcPr>
            <w:tcW w:w="4788" w:type="dxa"/>
          </w:tcPr>
          <w:p w14:paraId="06F76CAD" w14:textId="77777777" w:rsidR="00CD039F" w:rsidRPr="00CD039F" w:rsidRDefault="00CD039F" w:rsidP="00CB2915">
            <w:pPr>
              <w:pStyle w:val="Heading8"/>
            </w:pPr>
            <w:r w:rsidRPr="00CD039F">
              <w:t>monthly financial statements</w:t>
            </w:r>
          </w:p>
        </w:tc>
        <w:tc>
          <w:tcPr>
            <w:tcW w:w="4788" w:type="dxa"/>
          </w:tcPr>
          <w:p w14:paraId="5D10CCE3" w14:textId="77777777" w:rsidR="00CD039F" w:rsidRPr="00CD039F" w:rsidRDefault="00CB2915" w:rsidP="00DB6C79">
            <w:pPr>
              <w:pStyle w:val="TableText"/>
              <w:spacing w:before="240"/>
            </w:pPr>
            <w:r>
              <w:t>7 </w:t>
            </w:r>
            <w:r w:rsidR="00CD039F" w:rsidRPr="00CD039F">
              <w:t>years</w:t>
            </w:r>
          </w:p>
        </w:tc>
      </w:tr>
      <w:tr w:rsidR="00CD039F" w:rsidRPr="00CD039F" w14:paraId="0A304573" w14:textId="77777777" w:rsidTr="00CD039F">
        <w:trPr>
          <w:cantSplit/>
        </w:trPr>
        <w:tc>
          <w:tcPr>
            <w:tcW w:w="4788" w:type="dxa"/>
          </w:tcPr>
          <w:p w14:paraId="1EFE9B91" w14:textId="77777777" w:rsidR="00CD039F" w:rsidRPr="00CD039F" w:rsidRDefault="00CD039F" w:rsidP="00CB2915">
            <w:pPr>
              <w:pStyle w:val="Heading8"/>
            </w:pPr>
            <w:r w:rsidRPr="00CD039F">
              <w:t>annual audited financial statements</w:t>
            </w:r>
          </w:p>
        </w:tc>
        <w:tc>
          <w:tcPr>
            <w:tcW w:w="4788" w:type="dxa"/>
          </w:tcPr>
          <w:p w14:paraId="28A2D774" w14:textId="77777777" w:rsidR="00CD039F" w:rsidRPr="00CD039F" w:rsidRDefault="00CB2915" w:rsidP="00DB6C79">
            <w:pPr>
              <w:pStyle w:val="TableText"/>
              <w:spacing w:before="240"/>
            </w:pPr>
            <w:r>
              <w:t>permanent/7 </w:t>
            </w:r>
            <w:r w:rsidR="00CD039F" w:rsidRPr="00CD039F">
              <w:t>years</w:t>
            </w:r>
            <w:r w:rsidR="00CD039F" w:rsidRPr="00CB2915">
              <w:rPr>
                <w:vertAlign w:val="superscript"/>
              </w:rPr>
              <w:t>2</w:t>
            </w:r>
          </w:p>
        </w:tc>
      </w:tr>
      <w:tr w:rsidR="00CD039F" w:rsidRPr="00CD039F" w14:paraId="3E32B721" w14:textId="77777777" w:rsidTr="00CD039F">
        <w:trPr>
          <w:cantSplit/>
        </w:trPr>
        <w:tc>
          <w:tcPr>
            <w:tcW w:w="4788" w:type="dxa"/>
          </w:tcPr>
          <w:p w14:paraId="78E50B1D" w14:textId="77777777" w:rsidR="00CD039F" w:rsidRPr="00CD039F" w:rsidRDefault="00CD039F" w:rsidP="00CB2915">
            <w:pPr>
              <w:pStyle w:val="Heading8"/>
            </w:pPr>
            <w:r w:rsidRPr="00CD039F">
              <w:t>physical inventory records</w:t>
            </w:r>
          </w:p>
        </w:tc>
        <w:tc>
          <w:tcPr>
            <w:tcW w:w="4788" w:type="dxa"/>
          </w:tcPr>
          <w:p w14:paraId="05E85C89" w14:textId="77777777" w:rsidR="00CD039F" w:rsidRPr="00CD039F" w:rsidRDefault="00CB2915" w:rsidP="00DB6C79">
            <w:pPr>
              <w:pStyle w:val="TableText"/>
              <w:spacing w:before="240"/>
            </w:pPr>
            <w:r>
              <w:t>7 </w:t>
            </w:r>
            <w:r w:rsidR="00CD039F" w:rsidRPr="00CD039F">
              <w:t>years</w:t>
            </w:r>
          </w:p>
        </w:tc>
      </w:tr>
      <w:tr w:rsidR="00CD039F" w:rsidRPr="00CD039F" w14:paraId="27F322D2" w14:textId="77777777" w:rsidTr="00CD039F">
        <w:trPr>
          <w:cantSplit/>
        </w:trPr>
        <w:tc>
          <w:tcPr>
            <w:tcW w:w="4788" w:type="dxa"/>
          </w:tcPr>
          <w:p w14:paraId="3AA85224" w14:textId="77777777" w:rsidR="00CD039F" w:rsidRPr="00CD039F" w:rsidRDefault="00CD039F" w:rsidP="00CB2915">
            <w:pPr>
              <w:pStyle w:val="Heading8"/>
            </w:pPr>
            <w:r w:rsidRPr="00CD039F">
              <w:t>equipment and maintenance records</w:t>
            </w:r>
          </w:p>
        </w:tc>
        <w:tc>
          <w:tcPr>
            <w:tcW w:w="4788" w:type="dxa"/>
          </w:tcPr>
          <w:p w14:paraId="66641128" w14:textId="77777777" w:rsidR="00CD039F" w:rsidRPr="00CD039F" w:rsidRDefault="00CB2915" w:rsidP="00DB6C79">
            <w:pPr>
              <w:pStyle w:val="TableText"/>
              <w:spacing w:before="240"/>
            </w:pPr>
            <w:r>
              <w:t>7 </w:t>
            </w:r>
            <w:r w:rsidR="00CD039F" w:rsidRPr="00CD039F">
              <w:t>years</w:t>
            </w:r>
          </w:p>
        </w:tc>
      </w:tr>
      <w:tr w:rsidR="00CD039F" w:rsidRPr="00CD039F" w14:paraId="6B92AE24" w14:textId="77777777" w:rsidTr="00CD039F">
        <w:trPr>
          <w:cantSplit/>
        </w:trPr>
        <w:tc>
          <w:tcPr>
            <w:tcW w:w="4788" w:type="dxa"/>
          </w:tcPr>
          <w:p w14:paraId="358B8C5C" w14:textId="77777777" w:rsidR="00CD039F" w:rsidRPr="00CD039F" w:rsidRDefault="00CD039F" w:rsidP="00CB2915">
            <w:pPr>
              <w:pStyle w:val="Heading8"/>
            </w:pPr>
            <w:r w:rsidRPr="00CD039F">
              <w:t>depreciation records</w:t>
            </w:r>
          </w:p>
        </w:tc>
        <w:tc>
          <w:tcPr>
            <w:tcW w:w="4788" w:type="dxa"/>
          </w:tcPr>
          <w:p w14:paraId="4594767F" w14:textId="77777777" w:rsidR="00CD039F" w:rsidRPr="00CD039F" w:rsidRDefault="00CD039F" w:rsidP="00DB6C79">
            <w:pPr>
              <w:pStyle w:val="TableText"/>
              <w:spacing w:before="240"/>
            </w:pPr>
            <w:r w:rsidRPr="00CD039F">
              <w:t>permanent (if real estate records);</w:t>
            </w:r>
            <w:r w:rsidR="00CB2915">
              <w:t xml:space="preserve"> 7 </w:t>
            </w:r>
            <w:r w:rsidRPr="00CD039F">
              <w:t>years otherwise</w:t>
            </w:r>
            <w:r w:rsidRPr="00B24470">
              <w:rPr>
                <w:vertAlign w:val="superscript"/>
              </w:rPr>
              <w:t>2</w:t>
            </w:r>
          </w:p>
        </w:tc>
      </w:tr>
      <w:tr w:rsidR="00CD039F" w:rsidRPr="00CD039F" w14:paraId="7821BB4C" w14:textId="77777777" w:rsidTr="00CD039F">
        <w:trPr>
          <w:cantSplit/>
        </w:trPr>
        <w:tc>
          <w:tcPr>
            <w:tcW w:w="4788" w:type="dxa"/>
          </w:tcPr>
          <w:p w14:paraId="752F8A45" w14:textId="77777777" w:rsidR="00CD039F" w:rsidRPr="00CD039F" w:rsidRDefault="00CD039F" w:rsidP="00CB2915">
            <w:pPr>
              <w:pStyle w:val="Heading8"/>
            </w:pPr>
            <w:r w:rsidRPr="00CD039F">
              <w:t>strategic plans</w:t>
            </w:r>
          </w:p>
        </w:tc>
        <w:tc>
          <w:tcPr>
            <w:tcW w:w="4788" w:type="dxa"/>
          </w:tcPr>
          <w:p w14:paraId="3BD86830" w14:textId="77777777" w:rsidR="00CD039F" w:rsidRPr="00CD039F" w:rsidRDefault="00CB2915" w:rsidP="00DB6C79">
            <w:pPr>
              <w:pStyle w:val="TableText"/>
              <w:spacing w:before="240"/>
            </w:pPr>
            <w:r>
              <w:t>2 </w:t>
            </w:r>
            <w:r w:rsidR="00CD039F" w:rsidRPr="00CD039F">
              <w:t>years after termination period</w:t>
            </w:r>
          </w:p>
        </w:tc>
      </w:tr>
      <w:tr w:rsidR="00CB2915" w:rsidRPr="00CD039F" w14:paraId="4E537DC2" w14:textId="77777777" w:rsidTr="00CE1E71">
        <w:trPr>
          <w:cantSplit/>
        </w:trPr>
        <w:tc>
          <w:tcPr>
            <w:tcW w:w="9576" w:type="dxa"/>
            <w:gridSpan w:val="2"/>
          </w:tcPr>
          <w:p w14:paraId="411B45D9" w14:textId="77777777" w:rsidR="00CB2915" w:rsidRPr="00CD039F" w:rsidRDefault="00CB2915" w:rsidP="002D30EC">
            <w:pPr>
              <w:pStyle w:val="Heading7"/>
              <w:keepNext/>
            </w:pPr>
            <w:r w:rsidRPr="00CD039F">
              <w:t>Contracts</w:t>
            </w:r>
          </w:p>
        </w:tc>
      </w:tr>
      <w:tr w:rsidR="00CD039F" w:rsidRPr="00CD039F" w14:paraId="13DBB028" w14:textId="77777777" w:rsidTr="00CD039F">
        <w:trPr>
          <w:cantSplit/>
        </w:trPr>
        <w:tc>
          <w:tcPr>
            <w:tcW w:w="4788" w:type="dxa"/>
          </w:tcPr>
          <w:p w14:paraId="740C52D7" w14:textId="77777777" w:rsidR="00CD039F" w:rsidRPr="00CD039F" w:rsidRDefault="00CD039F" w:rsidP="00CB2915">
            <w:pPr>
              <w:pStyle w:val="Heading8"/>
            </w:pPr>
            <w:r w:rsidRPr="00CD039F">
              <w:t>contracts and related correspondence</w:t>
            </w:r>
          </w:p>
        </w:tc>
        <w:tc>
          <w:tcPr>
            <w:tcW w:w="4788" w:type="dxa"/>
          </w:tcPr>
          <w:p w14:paraId="17D2FA5E" w14:textId="77777777" w:rsidR="00CD039F" w:rsidRPr="00CD039F" w:rsidRDefault="00CB2915" w:rsidP="00DB6C79">
            <w:pPr>
              <w:pStyle w:val="TableText"/>
              <w:spacing w:before="240"/>
            </w:pPr>
            <w:r>
              <w:t>6 </w:t>
            </w:r>
            <w:r w:rsidR="00CD039F" w:rsidRPr="00CD039F">
              <w:t xml:space="preserve">years </w:t>
            </w:r>
            <w:r>
              <w:t>after expiration or termination</w:t>
            </w:r>
            <w:r>
              <w:rPr>
                <w:rStyle w:val="FootnoteReference"/>
              </w:rPr>
              <w:footnoteReference w:id="3"/>
            </w:r>
          </w:p>
        </w:tc>
      </w:tr>
      <w:tr w:rsidR="00CD039F" w:rsidRPr="00CD039F" w14:paraId="179A1D5C" w14:textId="77777777" w:rsidTr="00CD039F">
        <w:trPr>
          <w:cantSplit/>
        </w:trPr>
        <w:tc>
          <w:tcPr>
            <w:tcW w:w="4788" w:type="dxa"/>
          </w:tcPr>
          <w:p w14:paraId="6E01B75C" w14:textId="77777777" w:rsidR="00CD039F" w:rsidRPr="00CD039F" w:rsidRDefault="00CD039F" w:rsidP="00CB2915">
            <w:pPr>
              <w:pStyle w:val="Heading8"/>
            </w:pPr>
            <w:r w:rsidRPr="00CD039F">
              <w:t>licensing and services agreements</w:t>
            </w:r>
          </w:p>
        </w:tc>
        <w:tc>
          <w:tcPr>
            <w:tcW w:w="4788" w:type="dxa"/>
          </w:tcPr>
          <w:p w14:paraId="52E4338A" w14:textId="77777777" w:rsidR="00CD039F" w:rsidRPr="00CD039F" w:rsidRDefault="00CB2915" w:rsidP="00DB6C79">
            <w:pPr>
              <w:pStyle w:val="TableText"/>
              <w:spacing w:before="240"/>
            </w:pPr>
            <w:r>
              <w:t>6 </w:t>
            </w:r>
            <w:r w:rsidR="00CD039F" w:rsidRPr="00CD039F">
              <w:t>years after expiration or termination</w:t>
            </w:r>
            <w:r w:rsidR="00CD039F" w:rsidRPr="00CB2915">
              <w:rPr>
                <w:vertAlign w:val="superscript"/>
              </w:rPr>
              <w:t>3</w:t>
            </w:r>
          </w:p>
        </w:tc>
      </w:tr>
      <w:tr w:rsidR="00CD039F" w:rsidRPr="00CD039F" w14:paraId="24593566" w14:textId="77777777" w:rsidTr="00CD039F">
        <w:trPr>
          <w:cantSplit/>
        </w:trPr>
        <w:tc>
          <w:tcPr>
            <w:tcW w:w="4788" w:type="dxa"/>
          </w:tcPr>
          <w:p w14:paraId="0E651F4D" w14:textId="77777777" w:rsidR="00CD039F" w:rsidRPr="00CD039F" w:rsidRDefault="00CD039F" w:rsidP="00CB2915">
            <w:pPr>
              <w:pStyle w:val="Heading8"/>
            </w:pPr>
            <w:r w:rsidRPr="00CD039F">
              <w:t>sales representative and independent contractor agreements</w:t>
            </w:r>
          </w:p>
        </w:tc>
        <w:tc>
          <w:tcPr>
            <w:tcW w:w="4788" w:type="dxa"/>
          </w:tcPr>
          <w:p w14:paraId="586E8E62" w14:textId="77777777" w:rsidR="00CD039F" w:rsidRPr="00CD039F" w:rsidRDefault="00CB2915" w:rsidP="00DB6C79">
            <w:pPr>
              <w:pStyle w:val="TableText"/>
              <w:spacing w:before="240"/>
            </w:pPr>
            <w:r>
              <w:t>7 </w:t>
            </w:r>
            <w:r w:rsidR="00CD039F" w:rsidRPr="00CD039F">
              <w:t>years after expiration or termination</w:t>
            </w:r>
          </w:p>
        </w:tc>
      </w:tr>
      <w:tr w:rsidR="00CD039F" w:rsidRPr="00CD039F" w14:paraId="28F5EC38" w14:textId="77777777" w:rsidTr="00CD039F">
        <w:trPr>
          <w:cantSplit/>
        </w:trPr>
        <w:tc>
          <w:tcPr>
            <w:tcW w:w="4788" w:type="dxa"/>
          </w:tcPr>
          <w:p w14:paraId="0D623DD5" w14:textId="77777777" w:rsidR="00CD039F" w:rsidRPr="00CD039F" w:rsidRDefault="00CD039F" w:rsidP="00CB2915">
            <w:pPr>
              <w:pStyle w:val="Heading8"/>
            </w:pPr>
            <w:r w:rsidRPr="00CD039F">
              <w:t>contract review records</w:t>
            </w:r>
          </w:p>
        </w:tc>
        <w:tc>
          <w:tcPr>
            <w:tcW w:w="4788" w:type="dxa"/>
          </w:tcPr>
          <w:p w14:paraId="0CEADB90" w14:textId="77777777" w:rsidR="00CD039F" w:rsidRPr="00CD039F" w:rsidRDefault="00CB2915" w:rsidP="00DB6C79">
            <w:pPr>
              <w:pStyle w:val="TableText"/>
              <w:spacing w:before="240"/>
            </w:pPr>
            <w:r>
              <w:t>6 </w:t>
            </w:r>
            <w:r w:rsidR="00CD039F" w:rsidRPr="00CD039F">
              <w:t>years after expiration or termination</w:t>
            </w:r>
          </w:p>
        </w:tc>
      </w:tr>
      <w:tr w:rsidR="00CB2915" w:rsidRPr="00CD039F" w14:paraId="63CDA034" w14:textId="77777777" w:rsidTr="00CE1E71">
        <w:trPr>
          <w:cantSplit/>
        </w:trPr>
        <w:tc>
          <w:tcPr>
            <w:tcW w:w="9576" w:type="dxa"/>
            <w:gridSpan w:val="2"/>
          </w:tcPr>
          <w:p w14:paraId="7D73F010" w14:textId="77777777" w:rsidR="00CB2915" w:rsidRPr="00CD039F" w:rsidRDefault="00CB2915" w:rsidP="007A0CAC">
            <w:pPr>
              <w:pStyle w:val="Heading7"/>
              <w:keepNext/>
              <w:jc w:val="both"/>
            </w:pPr>
            <w:r w:rsidRPr="00CD039F">
              <w:t>Corporate Records</w:t>
            </w:r>
            <w:r w:rsidRPr="002D30EC">
              <w:rPr>
                <w:b w:val="0"/>
              </w:rPr>
              <w:t xml:space="preserve"> – The </w:t>
            </w:r>
            <w:r w:rsidRPr="007A0CAC">
              <w:rPr>
                <w:b w:val="0"/>
              </w:rPr>
              <w:t xml:space="preserve">following shall be kept at the principal office of the </w:t>
            </w:r>
            <w:r w:rsidR="00C71261">
              <w:rPr>
                <w:b w:val="0"/>
              </w:rPr>
              <w:t>Corporation</w:t>
            </w:r>
            <w:r w:rsidRPr="007A0CAC">
              <w:rPr>
                <w:b w:val="0"/>
              </w:rPr>
              <w:t xml:space="preserve"> or at the office of the </w:t>
            </w:r>
            <w:r w:rsidR="00C71261">
              <w:rPr>
                <w:b w:val="0"/>
              </w:rPr>
              <w:t>Corporation</w:t>
            </w:r>
            <w:r w:rsidRPr="007A0CAC">
              <w:rPr>
                <w:b w:val="0"/>
              </w:rPr>
              <w:t>’s Legal Counsel</w:t>
            </w:r>
            <w:r w:rsidRPr="002D30EC">
              <w:rPr>
                <w:b w:val="0"/>
              </w:rPr>
              <w:t>:</w:t>
            </w:r>
          </w:p>
        </w:tc>
      </w:tr>
      <w:tr w:rsidR="00CD039F" w:rsidRPr="00CD039F" w14:paraId="6A814F25" w14:textId="77777777" w:rsidTr="00CD039F">
        <w:trPr>
          <w:cantSplit/>
        </w:trPr>
        <w:tc>
          <w:tcPr>
            <w:tcW w:w="4788" w:type="dxa"/>
          </w:tcPr>
          <w:p w14:paraId="6287D79C" w14:textId="77777777" w:rsidR="00CD039F" w:rsidRPr="00CD039F" w:rsidRDefault="00CD039F" w:rsidP="002D30EC">
            <w:pPr>
              <w:pStyle w:val="Heading8"/>
            </w:pPr>
            <w:r w:rsidRPr="00CD039F">
              <w:t>documents related to tax-exempt status including IRS Application and determination letter</w:t>
            </w:r>
          </w:p>
        </w:tc>
        <w:tc>
          <w:tcPr>
            <w:tcW w:w="4788" w:type="dxa"/>
          </w:tcPr>
          <w:p w14:paraId="10676B05" w14:textId="77777777" w:rsidR="00CD039F" w:rsidRPr="00CD039F" w:rsidRDefault="00CD039F" w:rsidP="00DB6C79">
            <w:pPr>
              <w:pStyle w:val="TableText"/>
              <w:spacing w:before="240"/>
            </w:pPr>
            <w:r w:rsidRPr="00CD039F">
              <w:t>permanent</w:t>
            </w:r>
          </w:p>
        </w:tc>
      </w:tr>
      <w:tr w:rsidR="00CD039F" w:rsidRPr="00CD039F" w14:paraId="404A46A0" w14:textId="77777777" w:rsidTr="00CD039F">
        <w:trPr>
          <w:cantSplit/>
        </w:trPr>
        <w:tc>
          <w:tcPr>
            <w:tcW w:w="4788" w:type="dxa"/>
          </w:tcPr>
          <w:p w14:paraId="7DC61E59" w14:textId="77777777" w:rsidR="00CD039F" w:rsidRPr="00CD039F" w:rsidRDefault="00CD039F" w:rsidP="002D30EC">
            <w:pPr>
              <w:pStyle w:val="Heading8"/>
            </w:pPr>
            <w:r w:rsidRPr="00CD039F">
              <w:t xml:space="preserve">Articles of </w:t>
            </w:r>
            <w:r w:rsidRPr="007A0CAC">
              <w:t xml:space="preserve">Incorporation, Bylaws and amendments thereto for the </w:t>
            </w:r>
            <w:r w:rsidR="00C71261">
              <w:t>Corporation</w:t>
            </w:r>
            <w:r w:rsidRPr="007A0CAC">
              <w:t xml:space="preserve"> and its subsidiaries</w:t>
            </w:r>
          </w:p>
        </w:tc>
        <w:tc>
          <w:tcPr>
            <w:tcW w:w="4788" w:type="dxa"/>
          </w:tcPr>
          <w:p w14:paraId="3487295B" w14:textId="77777777" w:rsidR="00CD039F" w:rsidRPr="00CD039F" w:rsidRDefault="00CD039F" w:rsidP="00DB6C79">
            <w:pPr>
              <w:pStyle w:val="TableText"/>
              <w:spacing w:before="240"/>
            </w:pPr>
            <w:r w:rsidRPr="00CD039F">
              <w:t>permanent</w:t>
            </w:r>
          </w:p>
        </w:tc>
      </w:tr>
      <w:tr w:rsidR="00CD039F" w:rsidRPr="00CD039F" w14:paraId="7C2CCB5B" w14:textId="77777777" w:rsidTr="00CD039F">
        <w:trPr>
          <w:cantSplit/>
        </w:trPr>
        <w:tc>
          <w:tcPr>
            <w:tcW w:w="4788" w:type="dxa"/>
          </w:tcPr>
          <w:p w14:paraId="7C84354C" w14:textId="77777777" w:rsidR="00CD039F" w:rsidRPr="00CD039F" w:rsidRDefault="00CD039F" w:rsidP="002D30EC">
            <w:pPr>
              <w:pStyle w:val="Heading8"/>
            </w:pPr>
            <w:r w:rsidRPr="00CD039F">
              <w:lastRenderedPageBreak/>
              <w:t>qualification to do business in states and related records</w:t>
            </w:r>
          </w:p>
        </w:tc>
        <w:tc>
          <w:tcPr>
            <w:tcW w:w="4788" w:type="dxa"/>
          </w:tcPr>
          <w:p w14:paraId="76FDA841" w14:textId="77777777" w:rsidR="00CD039F" w:rsidRPr="00CD039F" w:rsidRDefault="00CD039F" w:rsidP="00DB6C79">
            <w:pPr>
              <w:pStyle w:val="TableText"/>
              <w:spacing w:before="240"/>
            </w:pPr>
            <w:r w:rsidRPr="00CD039F">
              <w:t>permanent</w:t>
            </w:r>
          </w:p>
        </w:tc>
      </w:tr>
      <w:tr w:rsidR="00CD039F" w:rsidRPr="00CD039F" w14:paraId="7733D972" w14:textId="77777777" w:rsidTr="00CD039F">
        <w:trPr>
          <w:cantSplit/>
        </w:trPr>
        <w:tc>
          <w:tcPr>
            <w:tcW w:w="4788" w:type="dxa"/>
          </w:tcPr>
          <w:p w14:paraId="5D826B1A" w14:textId="77777777" w:rsidR="00CD039F" w:rsidRPr="00CD039F" w:rsidRDefault="00CD039F" w:rsidP="002D30EC">
            <w:pPr>
              <w:pStyle w:val="Heading8"/>
            </w:pPr>
            <w:r w:rsidRPr="00CD039F">
              <w:t>minutes of meetings of the Board of Directors and subsidiary and regional boards, board committees and affiliate meetings (to be kept in a minute book)</w:t>
            </w:r>
          </w:p>
        </w:tc>
        <w:tc>
          <w:tcPr>
            <w:tcW w:w="4788" w:type="dxa"/>
          </w:tcPr>
          <w:p w14:paraId="6F53A6D3" w14:textId="77777777" w:rsidR="00CD039F" w:rsidRPr="00CD039F" w:rsidRDefault="00CD039F" w:rsidP="00DB6C79">
            <w:pPr>
              <w:pStyle w:val="TableText"/>
              <w:spacing w:before="240"/>
            </w:pPr>
            <w:r w:rsidRPr="00CD039F">
              <w:t>permanent</w:t>
            </w:r>
          </w:p>
        </w:tc>
      </w:tr>
      <w:tr w:rsidR="00CD039F" w:rsidRPr="00CD039F" w14:paraId="618AAF3B" w14:textId="77777777" w:rsidTr="00CD039F">
        <w:trPr>
          <w:cantSplit/>
        </w:trPr>
        <w:tc>
          <w:tcPr>
            <w:tcW w:w="4788" w:type="dxa"/>
          </w:tcPr>
          <w:p w14:paraId="1B29E0BA" w14:textId="77777777" w:rsidR="00CD039F" w:rsidRPr="00CD039F" w:rsidRDefault="00CD039F" w:rsidP="002D30EC">
            <w:pPr>
              <w:pStyle w:val="Heading8"/>
            </w:pPr>
            <w:r w:rsidRPr="00CD039F">
              <w:t>annual reports</w:t>
            </w:r>
          </w:p>
        </w:tc>
        <w:tc>
          <w:tcPr>
            <w:tcW w:w="4788" w:type="dxa"/>
          </w:tcPr>
          <w:p w14:paraId="309F1238" w14:textId="77777777" w:rsidR="00CD039F" w:rsidRPr="00CD039F" w:rsidRDefault="00CD039F" w:rsidP="00DB6C79">
            <w:pPr>
              <w:pStyle w:val="TableText"/>
              <w:spacing w:before="240"/>
            </w:pPr>
            <w:r w:rsidRPr="00CD039F">
              <w:t>permanent</w:t>
            </w:r>
          </w:p>
        </w:tc>
      </w:tr>
      <w:tr w:rsidR="00CD039F" w:rsidRPr="00CD039F" w14:paraId="12C08900" w14:textId="77777777" w:rsidTr="00CD039F">
        <w:trPr>
          <w:cantSplit/>
        </w:trPr>
        <w:tc>
          <w:tcPr>
            <w:tcW w:w="4788" w:type="dxa"/>
          </w:tcPr>
          <w:p w14:paraId="20714FD0" w14:textId="77777777" w:rsidR="00CD039F" w:rsidRPr="00CD039F" w:rsidRDefault="00CD039F" w:rsidP="002D30EC">
            <w:pPr>
              <w:pStyle w:val="Heading8"/>
            </w:pPr>
            <w:r w:rsidRPr="00CD039F">
              <w:t>acquisition files</w:t>
            </w:r>
          </w:p>
        </w:tc>
        <w:tc>
          <w:tcPr>
            <w:tcW w:w="4788" w:type="dxa"/>
          </w:tcPr>
          <w:p w14:paraId="360FAF30" w14:textId="77777777" w:rsidR="00CD039F" w:rsidRPr="00CD039F" w:rsidRDefault="00CD039F" w:rsidP="00DB6C79">
            <w:pPr>
              <w:pStyle w:val="TableText"/>
              <w:spacing w:before="240"/>
            </w:pPr>
            <w:r w:rsidRPr="00CD039F">
              <w:t>permanent</w:t>
            </w:r>
          </w:p>
        </w:tc>
      </w:tr>
      <w:tr w:rsidR="00CD039F" w:rsidRPr="00CD039F" w14:paraId="4F73D17A" w14:textId="77777777" w:rsidTr="00CD039F">
        <w:trPr>
          <w:cantSplit/>
        </w:trPr>
        <w:tc>
          <w:tcPr>
            <w:tcW w:w="4788" w:type="dxa"/>
          </w:tcPr>
          <w:p w14:paraId="7F548031" w14:textId="77777777" w:rsidR="00CD039F" w:rsidRPr="00CD039F" w:rsidRDefault="00CD039F" w:rsidP="002D30EC">
            <w:pPr>
              <w:pStyle w:val="Heading8"/>
            </w:pPr>
            <w:r w:rsidRPr="00CD039F">
              <w:t>financing documents, credit agreements, loan agreements, commitments, etc.</w:t>
            </w:r>
          </w:p>
        </w:tc>
        <w:tc>
          <w:tcPr>
            <w:tcW w:w="4788" w:type="dxa"/>
          </w:tcPr>
          <w:p w14:paraId="67C6C4AB" w14:textId="77777777" w:rsidR="00CD039F" w:rsidRPr="00CD039F" w:rsidRDefault="002D30EC" w:rsidP="00DB6C79">
            <w:pPr>
              <w:pStyle w:val="TableText"/>
              <w:spacing w:before="240"/>
            </w:pPr>
            <w:r>
              <w:t>10 </w:t>
            </w:r>
            <w:r w:rsidR="00CD039F" w:rsidRPr="00CD039F">
              <w:t>years after satisfaction</w:t>
            </w:r>
          </w:p>
        </w:tc>
      </w:tr>
      <w:tr w:rsidR="00CD039F" w:rsidRPr="00CD039F" w14:paraId="48665184" w14:textId="77777777" w:rsidTr="00CD039F">
        <w:trPr>
          <w:cantSplit/>
        </w:trPr>
        <w:tc>
          <w:tcPr>
            <w:tcW w:w="4788" w:type="dxa"/>
          </w:tcPr>
          <w:p w14:paraId="29380ABE" w14:textId="77777777" w:rsidR="00CD039F" w:rsidRPr="00CD039F" w:rsidRDefault="00CD039F" w:rsidP="002D30EC">
            <w:pPr>
              <w:pStyle w:val="Heading8"/>
            </w:pPr>
            <w:r w:rsidRPr="00CD039F">
              <w:t>meeting notices and event information</w:t>
            </w:r>
          </w:p>
        </w:tc>
        <w:tc>
          <w:tcPr>
            <w:tcW w:w="4788" w:type="dxa"/>
          </w:tcPr>
          <w:p w14:paraId="6600D132" w14:textId="77777777" w:rsidR="00CD039F" w:rsidRPr="00CD039F" w:rsidRDefault="002D30EC" w:rsidP="00DB6C79">
            <w:pPr>
              <w:pStyle w:val="TableText"/>
              <w:spacing w:before="240"/>
            </w:pPr>
            <w:r>
              <w:t>7 </w:t>
            </w:r>
            <w:r w:rsidR="00CD039F" w:rsidRPr="00CD039F">
              <w:t>years</w:t>
            </w:r>
          </w:p>
        </w:tc>
      </w:tr>
      <w:tr w:rsidR="002D30EC" w:rsidRPr="00CD039F" w14:paraId="1FC08B67" w14:textId="77777777" w:rsidTr="00CE1E71">
        <w:trPr>
          <w:cantSplit/>
        </w:trPr>
        <w:tc>
          <w:tcPr>
            <w:tcW w:w="9576" w:type="dxa"/>
            <w:gridSpan w:val="2"/>
          </w:tcPr>
          <w:p w14:paraId="18521371" w14:textId="77777777" w:rsidR="002D30EC" w:rsidRPr="00CD039F" w:rsidRDefault="002D30EC" w:rsidP="002D30EC">
            <w:pPr>
              <w:pStyle w:val="Heading7"/>
              <w:keepNext/>
            </w:pPr>
            <w:r w:rsidRPr="00CD039F">
              <w:t>Correspondence and Internal Memoranda</w:t>
            </w:r>
          </w:p>
        </w:tc>
      </w:tr>
      <w:tr w:rsidR="00CD039F" w:rsidRPr="00CD039F" w14:paraId="20B399CC" w14:textId="77777777" w:rsidTr="00CD039F">
        <w:trPr>
          <w:cantSplit/>
        </w:trPr>
        <w:tc>
          <w:tcPr>
            <w:tcW w:w="4788" w:type="dxa"/>
          </w:tcPr>
          <w:p w14:paraId="38B0AE7C" w14:textId="77777777" w:rsidR="00CD039F" w:rsidRDefault="00CD039F" w:rsidP="002D30EC">
            <w:pPr>
              <w:pStyle w:val="Heading8"/>
            </w:pPr>
            <w:r w:rsidRPr="00CD039F">
              <w:t>routine matters</w:t>
            </w:r>
          </w:p>
          <w:p w14:paraId="6D228A22" w14:textId="77777777" w:rsidR="002D30EC" w:rsidRDefault="002D30EC" w:rsidP="002D30EC">
            <w:pPr>
              <w:pStyle w:val="ListBullet2"/>
            </w:pPr>
            <w:r w:rsidRPr="00CD039F">
              <w:t>routine letters, notes, facsimiles and any other electronic means of communication that require no acknowledgment or follow-up, such as notes of appreciation, congratulation, letters of transmittal and plans for meetings</w:t>
            </w:r>
          </w:p>
          <w:p w14:paraId="611A384E" w14:textId="77777777" w:rsidR="002D30EC" w:rsidRDefault="002D30EC" w:rsidP="002D30EC">
            <w:pPr>
              <w:pStyle w:val="ListBullet2"/>
            </w:pPr>
            <w:r w:rsidRPr="00CD039F">
              <w:t>form letters that require no follow-up</w:t>
            </w:r>
          </w:p>
          <w:p w14:paraId="45EEEF36" w14:textId="77777777" w:rsidR="002D30EC" w:rsidRDefault="002D30EC" w:rsidP="002D30EC">
            <w:pPr>
              <w:pStyle w:val="ListBullet2"/>
            </w:pPr>
            <w:r w:rsidRPr="00CD039F">
              <w:t xml:space="preserve">copies of interdepartmental or other </w:t>
            </w:r>
            <w:r w:rsidR="00C71261">
              <w:t>Corporation</w:t>
            </w:r>
            <w:r w:rsidRPr="007A0CAC">
              <w:t xml:space="preserve"> correspondence</w:t>
            </w:r>
            <w:r w:rsidRPr="00CD039F">
              <w:t xml:space="preserve"> where a copy is retained for the originating department’s file</w:t>
            </w:r>
          </w:p>
          <w:p w14:paraId="7A5BD383" w14:textId="77777777" w:rsidR="002D30EC" w:rsidRDefault="002D30EC" w:rsidP="002D30EC">
            <w:pPr>
              <w:pStyle w:val="ListBullet2"/>
            </w:pPr>
            <w:r w:rsidRPr="00CD039F">
              <w:t>letters, facsimiles and any other electronic means of communication of general inquiry and replies that complete a cycle of correspondence</w:t>
            </w:r>
          </w:p>
          <w:p w14:paraId="2FCE542F" w14:textId="77777777" w:rsidR="002D30EC" w:rsidRDefault="002D30EC" w:rsidP="002D30EC">
            <w:pPr>
              <w:pStyle w:val="ListBullet2"/>
            </w:pPr>
            <w:r w:rsidRPr="00CD039F">
              <w:t>letters, facsimiles and any other electronic means of communication of complaints requesting specific action that have no further value after changes have been made or the appropriate action has been taken (</w:t>
            </w:r>
            <w:r w:rsidRPr="002D30EC">
              <w:rPr>
                <w:i/>
              </w:rPr>
              <w:t>i.e.</w:t>
            </w:r>
            <w:r w:rsidRPr="00CD039F">
              <w:t>, name or address change)</w:t>
            </w:r>
          </w:p>
          <w:p w14:paraId="198051D7" w14:textId="77777777" w:rsidR="002D30EC" w:rsidRDefault="002D30EC" w:rsidP="002D30EC">
            <w:pPr>
              <w:pStyle w:val="ListBullet2"/>
            </w:pPr>
            <w:r w:rsidRPr="00CD039F">
              <w:t>other letters, facsimiles and any other electronic means of communication of inconsequential subject matter or where no further reference will be required</w:t>
            </w:r>
          </w:p>
          <w:p w14:paraId="6AD05282" w14:textId="77777777" w:rsidR="002D30EC" w:rsidRPr="00CD039F" w:rsidRDefault="002D30EC" w:rsidP="002D30EC">
            <w:pPr>
              <w:pStyle w:val="ListBullet2"/>
            </w:pPr>
            <w:r w:rsidRPr="00CD039F">
              <w:t>chronological correspondence files</w:t>
            </w:r>
          </w:p>
        </w:tc>
        <w:tc>
          <w:tcPr>
            <w:tcW w:w="4788" w:type="dxa"/>
          </w:tcPr>
          <w:p w14:paraId="54FA4846" w14:textId="77777777" w:rsidR="00CD039F" w:rsidRPr="00CD039F" w:rsidRDefault="002D30EC" w:rsidP="00DB6C79">
            <w:pPr>
              <w:pStyle w:val="TableText"/>
              <w:spacing w:before="240"/>
            </w:pPr>
            <w:r>
              <w:t>1 </w:t>
            </w:r>
            <w:r w:rsidRPr="00CD039F">
              <w:t>year</w:t>
            </w:r>
          </w:p>
        </w:tc>
      </w:tr>
      <w:tr w:rsidR="00CD039F" w:rsidRPr="00CD039F" w14:paraId="3CC2CB41" w14:textId="77777777" w:rsidTr="00CD039F">
        <w:trPr>
          <w:cantSplit/>
        </w:trPr>
        <w:tc>
          <w:tcPr>
            <w:tcW w:w="4788" w:type="dxa"/>
          </w:tcPr>
          <w:p w14:paraId="251FDDF5" w14:textId="77777777" w:rsidR="00CD039F" w:rsidRDefault="00CD039F" w:rsidP="002D30EC">
            <w:pPr>
              <w:pStyle w:val="Heading8"/>
            </w:pPr>
            <w:r w:rsidRPr="00CD039F">
              <w:lastRenderedPageBreak/>
              <w:t>specific matters</w:t>
            </w:r>
          </w:p>
          <w:p w14:paraId="5292D858" w14:textId="77777777" w:rsidR="002D30EC" w:rsidRDefault="002D30EC" w:rsidP="002D30EC">
            <w:pPr>
              <w:pStyle w:val="ListBullet2"/>
            </w:pPr>
            <w:r w:rsidRPr="00CD039F">
              <w:t xml:space="preserve">letters, facsimiles and any other electronic means of communication explaining, but not establishing, </w:t>
            </w:r>
            <w:r w:rsidR="00C71261">
              <w:t>Corporation</w:t>
            </w:r>
            <w:r w:rsidRPr="007A0CAC">
              <w:t xml:space="preserve"> policy</w:t>
            </w:r>
          </w:p>
          <w:p w14:paraId="668287BA" w14:textId="77777777" w:rsidR="002D30EC" w:rsidRDefault="002D30EC" w:rsidP="002D30EC">
            <w:pPr>
              <w:pStyle w:val="ListBullet2"/>
            </w:pPr>
            <w:r w:rsidRPr="00CD039F">
              <w:t>letters, facsimiles and any other electronic means of communication establishing credit</w:t>
            </w:r>
          </w:p>
          <w:p w14:paraId="389DC9A8" w14:textId="77777777" w:rsidR="002D30EC" w:rsidRDefault="002D30EC" w:rsidP="002D30EC">
            <w:pPr>
              <w:pStyle w:val="ListBullet2"/>
            </w:pPr>
            <w:r w:rsidRPr="00CD039F">
              <w:t>collection letters after the account is paid</w:t>
            </w:r>
          </w:p>
          <w:p w14:paraId="184DF8C4" w14:textId="77777777" w:rsidR="002D30EC" w:rsidRDefault="002D30EC" w:rsidP="002D30EC">
            <w:pPr>
              <w:pStyle w:val="ListBullet2"/>
            </w:pPr>
            <w:r w:rsidRPr="00CD039F">
              <w:t>quotation letters where no contract results</w:t>
            </w:r>
          </w:p>
          <w:p w14:paraId="024D3CAA" w14:textId="77777777" w:rsidR="002D30EC" w:rsidRPr="00CD039F" w:rsidRDefault="002D30EC" w:rsidP="002D30EC">
            <w:pPr>
              <w:pStyle w:val="ListBullet2"/>
            </w:pPr>
            <w:r w:rsidRPr="00CD039F">
              <w:t>letters terminating sales representative or independent contractor relationship</w:t>
            </w:r>
          </w:p>
        </w:tc>
        <w:tc>
          <w:tcPr>
            <w:tcW w:w="4788" w:type="dxa"/>
          </w:tcPr>
          <w:p w14:paraId="681D07D8" w14:textId="77777777" w:rsidR="00CD039F" w:rsidRPr="00CD039F" w:rsidRDefault="002D30EC" w:rsidP="00DB6C79">
            <w:pPr>
              <w:pStyle w:val="TableText"/>
              <w:spacing w:before="240"/>
            </w:pPr>
            <w:r>
              <w:t>5 </w:t>
            </w:r>
            <w:r w:rsidRPr="00CD039F">
              <w:t>years</w:t>
            </w:r>
          </w:p>
        </w:tc>
      </w:tr>
      <w:tr w:rsidR="00CD039F" w:rsidRPr="00CD039F" w14:paraId="78B7F611" w14:textId="77777777" w:rsidTr="00CD039F">
        <w:trPr>
          <w:cantSplit/>
        </w:trPr>
        <w:tc>
          <w:tcPr>
            <w:tcW w:w="4788" w:type="dxa"/>
          </w:tcPr>
          <w:p w14:paraId="17FC48AB" w14:textId="77777777" w:rsidR="00CD039F" w:rsidRPr="00CD039F" w:rsidRDefault="00CD039F" w:rsidP="002D30EC">
            <w:pPr>
              <w:pStyle w:val="Heading8"/>
            </w:pPr>
            <w:r w:rsidRPr="00CD039F">
              <w:t>letters pertaining to patents, copyrights, bills of sale, permits, etc.</w:t>
            </w:r>
          </w:p>
        </w:tc>
        <w:tc>
          <w:tcPr>
            <w:tcW w:w="4788" w:type="dxa"/>
          </w:tcPr>
          <w:p w14:paraId="447C899C" w14:textId="77777777" w:rsidR="00CD039F" w:rsidRPr="00CD039F" w:rsidRDefault="00CD039F" w:rsidP="00DB6C79">
            <w:pPr>
              <w:pStyle w:val="TableText"/>
              <w:spacing w:before="240"/>
            </w:pPr>
            <w:r w:rsidRPr="00CD039F">
              <w:t>life of the supporting document or permanently</w:t>
            </w:r>
          </w:p>
        </w:tc>
      </w:tr>
      <w:tr w:rsidR="00CD039F" w:rsidRPr="00CD039F" w14:paraId="0ECD179D" w14:textId="77777777" w:rsidTr="00CD039F">
        <w:trPr>
          <w:cantSplit/>
        </w:trPr>
        <w:tc>
          <w:tcPr>
            <w:tcW w:w="4788" w:type="dxa"/>
          </w:tcPr>
          <w:p w14:paraId="4467E68F" w14:textId="77777777" w:rsidR="00CD039F" w:rsidRPr="00CD039F" w:rsidRDefault="00CD039F" w:rsidP="002D30EC">
            <w:pPr>
              <w:pStyle w:val="Heading8"/>
            </w:pPr>
            <w:r w:rsidRPr="00CD039F">
              <w:t>letters, facsimiles and any other electronic means of communication constituting all or a part of a contract or that are important in the clarification of a contract</w:t>
            </w:r>
          </w:p>
        </w:tc>
        <w:tc>
          <w:tcPr>
            <w:tcW w:w="4788" w:type="dxa"/>
          </w:tcPr>
          <w:p w14:paraId="6104C381" w14:textId="77777777" w:rsidR="00CD039F" w:rsidRPr="00CD039F" w:rsidRDefault="00CD039F" w:rsidP="00DB6C79">
            <w:pPr>
              <w:pStyle w:val="TableText"/>
              <w:spacing w:before="240"/>
            </w:pPr>
            <w:r w:rsidRPr="00CD039F">
              <w:t>life of the supporting document or permanently</w:t>
            </w:r>
          </w:p>
        </w:tc>
      </w:tr>
      <w:tr w:rsidR="00CD039F" w:rsidRPr="00CD039F" w14:paraId="043DD895" w14:textId="77777777" w:rsidTr="00CD039F">
        <w:trPr>
          <w:cantSplit/>
        </w:trPr>
        <w:tc>
          <w:tcPr>
            <w:tcW w:w="4788" w:type="dxa"/>
          </w:tcPr>
          <w:p w14:paraId="6D0F9D27" w14:textId="77777777" w:rsidR="00CD039F" w:rsidRPr="00CD039F" w:rsidRDefault="00CD039F" w:rsidP="002D30EC">
            <w:pPr>
              <w:pStyle w:val="Heading8"/>
            </w:pPr>
            <w:r w:rsidRPr="00CD039F">
              <w:t xml:space="preserve">letters denying liability of </w:t>
            </w:r>
            <w:r w:rsidRPr="007A0CAC">
              <w:t xml:space="preserve">the </w:t>
            </w:r>
            <w:r w:rsidR="00C71261">
              <w:t>Corporation</w:t>
            </w:r>
          </w:p>
        </w:tc>
        <w:tc>
          <w:tcPr>
            <w:tcW w:w="4788" w:type="dxa"/>
          </w:tcPr>
          <w:p w14:paraId="0B0CC713" w14:textId="77777777" w:rsidR="00CD039F" w:rsidRPr="00CD039F" w:rsidRDefault="00CD039F" w:rsidP="00DB6C79">
            <w:pPr>
              <w:pStyle w:val="TableText"/>
              <w:spacing w:before="240"/>
            </w:pPr>
            <w:r w:rsidRPr="00CD039F">
              <w:t>life of the supporting document or permanently</w:t>
            </w:r>
          </w:p>
        </w:tc>
      </w:tr>
      <w:tr w:rsidR="006E54FD" w:rsidRPr="00CD039F" w14:paraId="4D2AE349" w14:textId="77777777" w:rsidTr="00CE1E71">
        <w:trPr>
          <w:cantSplit/>
        </w:trPr>
        <w:tc>
          <w:tcPr>
            <w:tcW w:w="9576" w:type="dxa"/>
            <w:gridSpan w:val="2"/>
          </w:tcPr>
          <w:p w14:paraId="53AA73D7" w14:textId="77777777" w:rsidR="006E54FD" w:rsidRPr="00CD039F" w:rsidRDefault="006E54FD" w:rsidP="00C34597">
            <w:pPr>
              <w:pStyle w:val="Heading7"/>
              <w:keepNext/>
            </w:pPr>
            <w:r w:rsidRPr="00CD039F">
              <w:t>Insurance Records</w:t>
            </w:r>
          </w:p>
        </w:tc>
      </w:tr>
      <w:tr w:rsidR="00CD039F" w:rsidRPr="00CD039F" w14:paraId="4019C44F" w14:textId="77777777" w:rsidTr="00CD039F">
        <w:trPr>
          <w:cantSplit/>
        </w:trPr>
        <w:tc>
          <w:tcPr>
            <w:tcW w:w="4788" w:type="dxa"/>
          </w:tcPr>
          <w:p w14:paraId="015E3BBE" w14:textId="77777777" w:rsidR="00CD039F" w:rsidRPr="00CD039F" w:rsidRDefault="00CD039F" w:rsidP="006E54FD">
            <w:pPr>
              <w:pStyle w:val="Heading8"/>
            </w:pPr>
            <w:r w:rsidRPr="00CD039F">
              <w:t>policies</w:t>
            </w:r>
          </w:p>
        </w:tc>
        <w:tc>
          <w:tcPr>
            <w:tcW w:w="4788" w:type="dxa"/>
          </w:tcPr>
          <w:p w14:paraId="1726A1CC" w14:textId="77777777" w:rsidR="00CD039F" w:rsidRPr="00CD039F" w:rsidRDefault="00CD039F" w:rsidP="00DB6C79">
            <w:pPr>
              <w:pStyle w:val="TableText"/>
              <w:spacing w:before="240"/>
            </w:pPr>
            <w:r w:rsidRPr="00CD039F">
              <w:t>permanent</w:t>
            </w:r>
          </w:p>
        </w:tc>
      </w:tr>
      <w:tr w:rsidR="00CD039F" w:rsidRPr="00CD039F" w14:paraId="0B6A5B59" w14:textId="77777777" w:rsidTr="00CD039F">
        <w:trPr>
          <w:cantSplit/>
        </w:trPr>
        <w:tc>
          <w:tcPr>
            <w:tcW w:w="4788" w:type="dxa"/>
          </w:tcPr>
          <w:p w14:paraId="378CEEB1" w14:textId="77777777" w:rsidR="00CD039F" w:rsidRPr="00CD039F" w:rsidRDefault="00CD039F" w:rsidP="006E54FD">
            <w:pPr>
              <w:pStyle w:val="Heading8"/>
            </w:pPr>
            <w:r w:rsidRPr="00CD039F">
              <w:t>certificates issued to the</w:t>
            </w:r>
            <w:r w:rsidRPr="007A0CAC">
              <w:t xml:space="preserve"> </w:t>
            </w:r>
            <w:r w:rsidR="00C71261">
              <w:t>Corporation</w:t>
            </w:r>
          </w:p>
        </w:tc>
        <w:tc>
          <w:tcPr>
            <w:tcW w:w="4788" w:type="dxa"/>
          </w:tcPr>
          <w:p w14:paraId="34ADD252" w14:textId="77777777" w:rsidR="00CD039F" w:rsidRPr="00CD039F" w:rsidRDefault="00CD039F" w:rsidP="00DB6C79">
            <w:pPr>
              <w:pStyle w:val="TableText"/>
              <w:spacing w:before="240"/>
            </w:pPr>
            <w:r w:rsidRPr="00CD039F">
              <w:t>permanent</w:t>
            </w:r>
          </w:p>
        </w:tc>
      </w:tr>
      <w:tr w:rsidR="00CD039F" w:rsidRPr="00CD039F" w14:paraId="77DDB644" w14:textId="77777777" w:rsidTr="00CD039F">
        <w:trPr>
          <w:cantSplit/>
        </w:trPr>
        <w:tc>
          <w:tcPr>
            <w:tcW w:w="4788" w:type="dxa"/>
          </w:tcPr>
          <w:p w14:paraId="0A3F2AB8" w14:textId="77777777" w:rsidR="00CD039F" w:rsidRPr="007A0CAC" w:rsidRDefault="00CD039F" w:rsidP="006E54FD">
            <w:pPr>
              <w:pStyle w:val="Heading8"/>
            </w:pPr>
            <w:r w:rsidRPr="007A0CAC">
              <w:t>certi</w:t>
            </w:r>
            <w:r w:rsidR="007A0CAC" w:rsidRPr="007A0CAC">
              <w:t xml:space="preserve">ficates issued on behalf of the </w:t>
            </w:r>
            <w:r w:rsidR="00C71261">
              <w:t>Corporation</w:t>
            </w:r>
          </w:p>
        </w:tc>
        <w:tc>
          <w:tcPr>
            <w:tcW w:w="4788" w:type="dxa"/>
          </w:tcPr>
          <w:p w14:paraId="34568FF7" w14:textId="77777777" w:rsidR="00CD039F" w:rsidRPr="00CD039F" w:rsidRDefault="006E54FD" w:rsidP="00DB6C79">
            <w:pPr>
              <w:pStyle w:val="TableText"/>
              <w:spacing w:before="240"/>
            </w:pPr>
            <w:r>
              <w:t>3 </w:t>
            </w:r>
            <w:r w:rsidR="00CD039F" w:rsidRPr="00CD039F">
              <w:t>years</w:t>
            </w:r>
          </w:p>
        </w:tc>
      </w:tr>
      <w:tr w:rsidR="00CD039F" w:rsidRPr="00CD039F" w14:paraId="332B4727" w14:textId="77777777" w:rsidTr="00CD039F">
        <w:trPr>
          <w:cantSplit/>
        </w:trPr>
        <w:tc>
          <w:tcPr>
            <w:tcW w:w="4788" w:type="dxa"/>
          </w:tcPr>
          <w:p w14:paraId="0FA6501C" w14:textId="77777777" w:rsidR="00CD039F" w:rsidRPr="00CD039F" w:rsidRDefault="00CD039F" w:rsidP="006E54FD">
            <w:pPr>
              <w:pStyle w:val="Heading8"/>
            </w:pPr>
            <w:r w:rsidRPr="00CD039F">
              <w:t>group insurance plans for active employees</w:t>
            </w:r>
          </w:p>
        </w:tc>
        <w:tc>
          <w:tcPr>
            <w:tcW w:w="4788" w:type="dxa"/>
          </w:tcPr>
          <w:p w14:paraId="7A5BE9F5" w14:textId="77777777" w:rsidR="00CD039F" w:rsidRPr="00CD039F" w:rsidRDefault="00CD039F" w:rsidP="00DB6C79">
            <w:pPr>
              <w:pStyle w:val="TableText"/>
              <w:spacing w:before="240"/>
            </w:pPr>
            <w:r w:rsidRPr="00CD039F">
              <w:t>until plan is amended or terminated</w:t>
            </w:r>
          </w:p>
        </w:tc>
      </w:tr>
      <w:tr w:rsidR="00CD039F" w:rsidRPr="00CD039F" w14:paraId="6F873B70" w14:textId="77777777" w:rsidTr="00CD039F">
        <w:trPr>
          <w:cantSplit/>
        </w:trPr>
        <w:tc>
          <w:tcPr>
            <w:tcW w:w="4788" w:type="dxa"/>
          </w:tcPr>
          <w:p w14:paraId="1E55736B" w14:textId="77777777" w:rsidR="00CD039F" w:rsidRPr="00CD039F" w:rsidRDefault="00CD039F" w:rsidP="006E54FD">
            <w:pPr>
              <w:pStyle w:val="Heading8"/>
            </w:pPr>
            <w:r w:rsidRPr="00CD039F">
              <w:t>group insurance plans for retirees</w:t>
            </w:r>
          </w:p>
        </w:tc>
        <w:tc>
          <w:tcPr>
            <w:tcW w:w="4788" w:type="dxa"/>
          </w:tcPr>
          <w:p w14:paraId="4F3997F4" w14:textId="77777777" w:rsidR="00CD039F" w:rsidRPr="00CD039F" w:rsidRDefault="00CD039F" w:rsidP="00DB6C79">
            <w:pPr>
              <w:pStyle w:val="TableText"/>
              <w:spacing w:before="240"/>
            </w:pPr>
            <w:r w:rsidRPr="00CD039F">
              <w:t>permanently or</w:t>
            </w:r>
            <w:r w:rsidR="006E54FD">
              <w:t xml:space="preserve"> until 6 </w:t>
            </w:r>
            <w:r w:rsidRPr="00CD039F">
              <w:t>years after the death of the last eligible participant</w:t>
            </w:r>
          </w:p>
        </w:tc>
      </w:tr>
      <w:tr w:rsidR="00CD039F" w:rsidRPr="00CD039F" w14:paraId="0088B3D6" w14:textId="77777777" w:rsidTr="00CD039F">
        <w:trPr>
          <w:cantSplit/>
        </w:trPr>
        <w:tc>
          <w:tcPr>
            <w:tcW w:w="4788" w:type="dxa"/>
          </w:tcPr>
          <w:p w14:paraId="320022B0" w14:textId="77777777" w:rsidR="00CD039F" w:rsidRPr="00CD039F" w:rsidRDefault="00CD039F" w:rsidP="006E54FD">
            <w:pPr>
              <w:pStyle w:val="Heading8"/>
            </w:pPr>
            <w:r w:rsidRPr="00CD039F">
              <w:t>audits or adjustments</w:t>
            </w:r>
          </w:p>
        </w:tc>
        <w:tc>
          <w:tcPr>
            <w:tcW w:w="4788" w:type="dxa"/>
          </w:tcPr>
          <w:p w14:paraId="4A3F7C19" w14:textId="77777777" w:rsidR="00CD039F" w:rsidRPr="00CD039F" w:rsidRDefault="006E54FD" w:rsidP="00DB6C79">
            <w:pPr>
              <w:pStyle w:val="TableText"/>
              <w:spacing w:before="240"/>
            </w:pPr>
            <w:r>
              <w:t>2 </w:t>
            </w:r>
            <w:r w:rsidR="00CD039F" w:rsidRPr="00CD039F">
              <w:t>years after final adjustments</w:t>
            </w:r>
          </w:p>
        </w:tc>
      </w:tr>
      <w:tr w:rsidR="00CD039F" w:rsidRPr="00CD039F" w14:paraId="5F849723" w14:textId="77777777" w:rsidTr="00CD039F">
        <w:trPr>
          <w:cantSplit/>
        </w:trPr>
        <w:tc>
          <w:tcPr>
            <w:tcW w:w="4788" w:type="dxa"/>
          </w:tcPr>
          <w:p w14:paraId="1767C9AC" w14:textId="77777777" w:rsidR="00CD039F" w:rsidRDefault="00CD039F" w:rsidP="006E54FD">
            <w:pPr>
              <w:pStyle w:val="Heading8"/>
            </w:pPr>
            <w:r w:rsidRPr="00CD039F">
              <w:lastRenderedPageBreak/>
              <w:t>claims files (including correspondence, medical records, injury documentation, etc.)</w:t>
            </w:r>
          </w:p>
          <w:p w14:paraId="03B0966B" w14:textId="77777777" w:rsidR="006E54FD" w:rsidRDefault="006E54FD" w:rsidP="006E54FD">
            <w:pPr>
              <w:pStyle w:val="Heading9"/>
            </w:pPr>
            <w:r w:rsidRPr="00CD039F">
              <w:t>workers’ compensation</w:t>
            </w:r>
          </w:p>
          <w:p w14:paraId="28873810" w14:textId="77777777" w:rsidR="006E54FD" w:rsidRDefault="006E54FD" w:rsidP="006E54FD">
            <w:pPr>
              <w:pStyle w:val="Heading9"/>
            </w:pPr>
            <w:r w:rsidRPr="00CD039F">
              <w:t>product liability (open – no litigation)</w:t>
            </w:r>
          </w:p>
          <w:p w14:paraId="667E8DF2" w14:textId="77777777" w:rsidR="006E54FD" w:rsidRDefault="006E54FD" w:rsidP="00C34597">
            <w:pPr>
              <w:pStyle w:val="Heading9"/>
              <w:spacing w:before="480"/>
            </w:pPr>
            <w:r w:rsidRPr="00CD039F">
              <w:t>first party</w:t>
            </w:r>
          </w:p>
          <w:p w14:paraId="20187417" w14:textId="77777777" w:rsidR="006E54FD" w:rsidRDefault="006E54FD" w:rsidP="00C34597">
            <w:pPr>
              <w:pStyle w:val="Heading9"/>
              <w:spacing w:before="480"/>
            </w:pPr>
            <w:r w:rsidRPr="00CD039F">
              <w:t>other third party</w:t>
            </w:r>
          </w:p>
          <w:p w14:paraId="652A5931" w14:textId="77777777" w:rsidR="006E54FD" w:rsidRDefault="006E54FD" w:rsidP="00C34597">
            <w:pPr>
              <w:pStyle w:val="Heading9"/>
              <w:spacing w:before="480"/>
            </w:pPr>
            <w:r w:rsidRPr="00CD039F">
              <w:t>long-term disability</w:t>
            </w:r>
          </w:p>
          <w:p w14:paraId="24AC878A" w14:textId="77777777" w:rsidR="006E54FD" w:rsidRPr="00CD039F" w:rsidRDefault="006E54FD" w:rsidP="00C34597">
            <w:pPr>
              <w:pStyle w:val="Heading9"/>
              <w:spacing w:before="480"/>
            </w:pPr>
            <w:r w:rsidRPr="00CD039F">
              <w:t>group life</w:t>
            </w:r>
          </w:p>
        </w:tc>
        <w:tc>
          <w:tcPr>
            <w:tcW w:w="4788" w:type="dxa"/>
          </w:tcPr>
          <w:p w14:paraId="09D891B4" w14:textId="77777777" w:rsidR="00E767C6" w:rsidRDefault="00E767C6" w:rsidP="00DB6C79">
            <w:pPr>
              <w:pStyle w:val="TableText"/>
              <w:spacing w:before="240"/>
            </w:pPr>
            <w:r>
              <w:br/>
            </w:r>
            <w:r>
              <w:br/>
            </w:r>
          </w:p>
          <w:p w14:paraId="545A4E54" w14:textId="77777777" w:rsidR="00CD039F" w:rsidRDefault="00E767C6" w:rsidP="00E767C6">
            <w:pPr>
              <w:pStyle w:val="TableText"/>
              <w:tabs>
                <w:tab w:val="left" w:pos="432"/>
              </w:tabs>
              <w:spacing w:before="240"/>
              <w:ind w:left="432" w:hanging="432"/>
            </w:pPr>
            <w:r>
              <w:t>a.</w:t>
            </w:r>
            <w:r>
              <w:tab/>
              <w:t>10 </w:t>
            </w:r>
            <w:r w:rsidR="006E54FD" w:rsidRPr="00CD039F">
              <w:t>years after close of matter</w:t>
            </w:r>
          </w:p>
          <w:p w14:paraId="277BBF3D" w14:textId="77777777" w:rsidR="006E54FD" w:rsidRDefault="006E54FD" w:rsidP="00C34597">
            <w:pPr>
              <w:pStyle w:val="TableText"/>
              <w:tabs>
                <w:tab w:val="left" w:pos="432"/>
              </w:tabs>
              <w:spacing w:before="240"/>
              <w:ind w:left="432" w:hanging="432"/>
            </w:pPr>
            <w:r w:rsidRPr="00CD039F">
              <w:t>b.</w:t>
            </w:r>
            <w:r w:rsidR="00E767C6">
              <w:tab/>
              <w:t>10 </w:t>
            </w:r>
            <w:r w:rsidRPr="00CD039F">
              <w:t>years after last correspondence or contact with claimant</w:t>
            </w:r>
          </w:p>
          <w:p w14:paraId="51644F04" w14:textId="77777777" w:rsidR="006E54FD" w:rsidRDefault="006E54FD" w:rsidP="00C34597">
            <w:pPr>
              <w:pStyle w:val="TableText"/>
              <w:tabs>
                <w:tab w:val="left" w:pos="432"/>
              </w:tabs>
              <w:spacing w:before="240"/>
              <w:ind w:left="432" w:hanging="432"/>
            </w:pPr>
            <w:r w:rsidRPr="00CD039F">
              <w:t>c.</w:t>
            </w:r>
            <w:r w:rsidR="00E767C6">
              <w:tab/>
              <w:t>10 </w:t>
            </w:r>
            <w:r w:rsidRPr="00CD039F">
              <w:t>years after last correspondence or contact with insurer</w:t>
            </w:r>
          </w:p>
          <w:p w14:paraId="10382DB7" w14:textId="77777777" w:rsidR="006E54FD" w:rsidRDefault="006E54FD" w:rsidP="00C34597">
            <w:pPr>
              <w:pStyle w:val="TableText"/>
              <w:tabs>
                <w:tab w:val="left" w:pos="432"/>
              </w:tabs>
              <w:spacing w:before="240"/>
              <w:ind w:left="432" w:hanging="432"/>
            </w:pPr>
            <w:r w:rsidRPr="00CD039F">
              <w:t>d.</w:t>
            </w:r>
            <w:r w:rsidR="00E767C6">
              <w:tab/>
              <w:t>10 </w:t>
            </w:r>
            <w:r w:rsidRPr="00CD039F">
              <w:t>years after last correspondence or contact with third party</w:t>
            </w:r>
          </w:p>
          <w:p w14:paraId="563E701D" w14:textId="77777777" w:rsidR="006E54FD" w:rsidRDefault="006E54FD" w:rsidP="00C34597">
            <w:pPr>
              <w:pStyle w:val="TableText"/>
              <w:tabs>
                <w:tab w:val="left" w:pos="432"/>
              </w:tabs>
              <w:spacing w:before="240"/>
              <w:ind w:left="432" w:hanging="432"/>
            </w:pPr>
            <w:r w:rsidRPr="00CD039F">
              <w:t>e.</w:t>
            </w:r>
            <w:r w:rsidR="00E767C6">
              <w:tab/>
              <w:t>10 </w:t>
            </w:r>
            <w:r w:rsidRPr="00CD039F">
              <w:t>years after return to work, retirement or death</w:t>
            </w:r>
          </w:p>
          <w:p w14:paraId="345FEFF0" w14:textId="77777777" w:rsidR="006E54FD" w:rsidRPr="00CD039F" w:rsidRDefault="006E54FD" w:rsidP="00C34597">
            <w:pPr>
              <w:pStyle w:val="TableText"/>
              <w:tabs>
                <w:tab w:val="left" w:pos="432"/>
              </w:tabs>
              <w:spacing w:before="240"/>
              <w:ind w:left="432" w:hanging="432"/>
            </w:pPr>
            <w:r w:rsidRPr="00CD039F">
              <w:t>f.</w:t>
            </w:r>
            <w:r w:rsidR="00E767C6">
              <w:tab/>
              <w:t>10 </w:t>
            </w:r>
            <w:r w:rsidRPr="00CD039F">
              <w:t>years after close</w:t>
            </w:r>
          </w:p>
        </w:tc>
      </w:tr>
      <w:tr w:rsidR="00CD039F" w:rsidRPr="00CD039F" w14:paraId="226904F0" w14:textId="77777777" w:rsidTr="00CD039F">
        <w:trPr>
          <w:cantSplit/>
        </w:trPr>
        <w:tc>
          <w:tcPr>
            <w:tcW w:w="4788" w:type="dxa"/>
          </w:tcPr>
          <w:p w14:paraId="7CA70875" w14:textId="77777777" w:rsidR="00CD039F" w:rsidRPr="00CD039F" w:rsidRDefault="00CD039F" w:rsidP="00C34597">
            <w:pPr>
              <w:pStyle w:val="Heading8"/>
            </w:pPr>
            <w:r w:rsidRPr="00CD039F">
              <w:t>releases and settlements</w:t>
            </w:r>
          </w:p>
        </w:tc>
        <w:tc>
          <w:tcPr>
            <w:tcW w:w="4788" w:type="dxa"/>
          </w:tcPr>
          <w:p w14:paraId="2EFC5C2D" w14:textId="77777777" w:rsidR="00CD039F" w:rsidRPr="00CD039F" w:rsidRDefault="00CD039F" w:rsidP="00DB6C79">
            <w:pPr>
              <w:pStyle w:val="TableText"/>
              <w:spacing w:before="240"/>
            </w:pPr>
            <w:r w:rsidRPr="00CD039F">
              <w:t>permanent</w:t>
            </w:r>
          </w:p>
        </w:tc>
      </w:tr>
      <w:tr w:rsidR="00CD039F" w:rsidRPr="00CD039F" w14:paraId="620AF290" w14:textId="77777777" w:rsidTr="00CD039F">
        <w:trPr>
          <w:cantSplit/>
        </w:trPr>
        <w:tc>
          <w:tcPr>
            <w:tcW w:w="4788" w:type="dxa"/>
          </w:tcPr>
          <w:p w14:paraId="31EF35D1" w14:textId="77777777" w:rsidR="00CD039F" w:rsidRPr="00CD039F" w:rsidRDefault="00CD039F" w:rsidP="00C34597">
            <w:pPr>
              <w:pStyle w:val="Heading8"/>
            </w:pPr>
            <w:r w:rsidRPr="00CD039F">
              <w:t>inspections of premises</w:t>
            </w:r>
          </w:p>
        </w:tc>
        <w:tc>
          <w:tcPr>
            <w:tcW w:w="4788" w:type="dxa"/>
          </w:tcPr>
          <w:p w14:paraId="40F06978" w14:textId="77777777" w:rsidR="00CD039F" w:rsidRPr="00CD039F" w:rsidRDefault="00C34597" w:rsidP="00DB6C79">
            <w:pPr>
              <w:pStyle w:val="TableText"/>
              <w:spacing w:before="240"/>
            </w:pPr>
            <w:r>
              <w:t>3 </w:t>
            </w:r>
            <w:r w:rsidR="00CD039F" w:rsidRPr="00CD039F">
              <w:t>years</w:t>
            </w:r>
          </w:p>
        </w:tc>
      </w:tr>
      <w:tr w:rsidR="00CD039F" w:rsidRPr="00CD039F" w14:paraId="173AF27B" w14:textId="77777777" w:rsidTr="00CD039F">
        <w:trPr>
          <w:cantSplit/>
        </w:trPr>
        <w:tc>
          <w:tcPr>
            <w:tcW w:w="4788" w:type="dxa"/>
          </w:tcPr>
          <w:p w14:paraId="59087393" w14:textId="77777777" w:rsidR="00CD039F" w:rsidRPr="00CD039F" w:rsidRDefault="00CD039F" w:rsidP="00C34597">
            <w:pPr>
              <w:pStyle w:val="Heading8"/>
            </w:pPr>
            <w:r w:rsidRPr="00CD039F">
              <w:t>loss runs</w:t>
            </w:r>
          </w:p>
        </w:tc>
        <w:tc>
          <w:tcPr>
            <w:tcW w:w="4788" w:type="dxa"/>
          </w:tcPr>
          <w:p w14:paraId="3446B282" w14:textId="77777777" w:rsidR="00CD039F" w:rsidRPr="00CD039F" w:rsidRDefault="00C34597" w:rsidP="00DB6C79">
            <w:pPr>
              <w:pStyle w:val="TableText"/>
              <w:spacing w:before="240"/>
            </w:pPr>
            <w:r>
              <w:t>10 </w:t>
            </w:r>
            <w:r w:rsidR="00CD039F" w:rsidRPr="00CD039F">
              <w:t>years</w:t>
            </w:r>
          </w:p>
        </w:tc>
      </w:tr>
      <w:tr w:rsidR="00CD039F" w:rsidRPr="00CD039F" w14:paraId="3E87DCDE" w14:textId="77777777" w:rsidTr="00CD039F">
        <w:trPr>
          <w:cantSplit/>
        </w:trPr>
        <w:tc>
          <w:tcPr>
            <w:tcW w:w="4788" w:type="dxa"/>
          </w:tcPr>
          <w:p w14:paraId="4B751693" w14:textId="77777777" w:rsidR="00CD039F" w:rsidRPr="00CD039F" w:rsidRDefault="00CD039F" w:rsidP="00C34597">
            <w:pPr>
              <w:pStyle w:val="Heading8"/>
            </w:pPr>
            <w:r w:rsidRPr="00CD039F">
              <w:t>annual loss summaries</w:t>
            </w:r>
          </w:p>
        </w:tc>
        <w:tc>
          <w:tcPr>
            <w:tcW w:w="4788" w:type="dxa"/>
          </w:tcPr>
          <w:p w14:paraId="65EFE097" w14:textId="77777777" w:rsidR="00CD039F" w:rsidRPr="00CD039F" w:rsidRDefault="00C34597" w:rsidP="00DB6C79">
            <w:pPr>
              <w:pStyle w:val="TableText"/>
              <w:spacing w:before="240"/>
            </w:pPr>
            <w:r>
              <w:t>10 </w:t>
            </w:r>
            <w:r w:rsidR="00CD039F" w:rsidRPr="00CD039F">
              <w:t>years</w:t>
            </w:r>
          </w:p>
        </w:tc>
      </w:tr>
      <w:tr w:rsidR="00C34597" w:rsidRPr="00CD039F" w14:paraId="5DBCAB76" w14:textId="77777777" w:rsidTr="00CE1E71">
        <w:trPr>
          <w:cantSplit/>
        </w:trPr>
        <w:tc>
          <w:tcPr>
            <w:tcW w:w="9576" w:type="dxa"/>
            <w:gridSpan w:val="2"/>
          </w:tcPr>
          <w:p w14:paraId="7D310C95" w14:textId="77777777" w:rsidR="00C34597" w:rsidRPr="00CD039F" w:rsidRDefault="00C34597" w:rsidP="00496A6D">
            <w:pPr>
              <w:pStyle w:val="Heading7"/>
              <w:keepNext/>
            </w:pPr>
            <w:r w:rsidRPr="00CD039F">
              <w:t>Legal Files and Papers</w:t>
            </w:r>
          </w:p>
        </w:tc>
      </w:tr>
      <w:tr w:rsidR="00CD039F" w:rsidRPr="00CD039F" w14:paraId="6CDA8BDC" w14:textId="77777777" w:rsidTr="00CD039F">
        <w:trPr>
          <w:cantSplit/>
        </w:trPr>
        <w:tc>
          <w:tcPr>
            <w:tcW w:w="4788" w:type="dxa"/>
          </w:tcPr>
          <w:p w14:paraId="2A0AA71C" w14:textId="77777777" w:rsidR="00CD039F" w:rsidRPr="00CD039F" w:rsidRDefault="00CD039F" w:rsidP="00C34597">
            <w:pPr>
              <w:pStyle w:val="Heading8"/>
            </w:pPr>
            <w:r w:rsidRPr="00CD039F">
              <w:t>legal memoranda and opinions (including all subject matter files)</w:t>
            </w:r>
          </w:p>
        </w:tc>
        <w:tc>
          <w:tcPr>
            <w:tcW w:w="4788" w:type="dxa"/>
          </w:tcPr>
          <w:p w14:paraId="75B99D75" w14:textId="77777777" w:rsidR="00CD039F" w:rsidRPr="00CD039F" w:rsidRDefault="00C34597" w:rsidP="00DB6C79">
            <w:pPr>
              <w:pStyle w:val="TableText"/>
              <w:spacing w:before="240"/>
            </w:pPr>
            <w:r>
              <w:t>6 </w:t>
            </w:r>
            <w:r w:rsidR="00CD039F" w:rsidRPr="00CD039F">
              <w:t>years after close of matter</w:t>
            </w:r>
          </w:p>
        </w:tc>
      </w:tr>
      <w:tr w:rsidR="00CD039F" w:rsidRPr="00CD039F" w14:paraId="397F5615" w14:textId="77777777" w:rsidTr="00CD039F">
        <w:trPr>
          <w:cantSplit/>
        </w:trPr>
        <w:tc>
          <w:tcPr>
            <w:tcW w:w="4788" w:type="dxa"/>
          </w:tcPr>
          <w:p w14:paraId="17346897" w14:textId="77777777" w:rsidR="00CD039F" w:rsidRPr="00CD039F" w:rsidRDefault="00CD039F" w:rsidP="00C34597">
            <w:pPr>
              <w:pStyle w:val="Heading8"/>
            </w:pPr>
            <w:r w:rsidRPr="00CD039F">
              <w:t>major litigation files (including correspondence, depositions, discovery, responses and pleadings)</w:t>
            </w:r>
          </w:p>
        </w:tc>
        <w:tc>
          <w:tcPr>
            <w:tcW w:w="4788" w:type="dxa"/>
          </w:tcPr>
          <w:p w14:paraId="509D3176" w14:textId="77777777" w:rsidR="00CD039F" w:rsidRPr="00CD039F" w:rsidRDefault="00CD039F" w:rsidP="00DB6C79">
            <w:pPr>
              <w:pStyle w:val="TableText"/>
              <w:spacing w:before="240"/>
            </w:pPr>
            <w:r w:rsidRPr="00CD039F">
              <w:t>as determined by legal counsel on a case by case basis</w:t>
            </w:r>
          </w:p>
        </w:tc>
      </w:tr>
      <w:tr w:rsidR="00CD039F" w:rsidRPr="00CD039F" w14:paraId="214BE127" w14:textId="77777777" w:rsidTr="00CD039F">
        <w:trPr>
          <w:cantSplit/>
        </w:trPr>
        <w:tc>
          <w:tcPr>
            <w:tcW w:w="4788" w:type="dxa"/>
          </w:tcPr>
          <w:p w14:paraId="651631C7" w14:textId="77777777" w:rsidR="00CD039F" w:rsidRPr="00CD039F" w:rsidRDefault="00CD039F" w:rsidP="00C34597">
            <w:pPr>
              <w:pStyle w:val="Heading8"/>
            </w:pPr>
            <w:r w:rsidRPr="00CD039F">
              <w:t>other litigation files (including correspondence, depositions, discovery, responses and pleadings)</w:t>
            </w:r>
          </w:p>
        </w:tc>
        <w:tc>
          <w:tcPr>
            <w:tcW w:w="4788" w:type="dxa"/>
          </w:tcPr>
          <w:p w14:paraId="1F808A71" w14:textId="77777777" w:rsidR="00CD039F" w:rsidRPr="00CD039F" w:rsidRDefault="00C34597" w:rsidP="00DB6C79">
            <w:pPr>
              <w:pStyle w:val="TableText"/>
              <w:spacing w:before="240"/>
            </w:pPr>
            <w:r>
              <w:t>1 </w:t>
            </w:r>
            <w:r w:rsidR="00CD039F" w:rsidRPr="00CD039F">
              <w:t>year after expiration of appeals or time for filing of appeals</w:t>
            </w:r>
          </w:p>
        </w:tc>
      </w:tr>
      <w:tr w:rsidR="00CD039F" w:rsidRPr="00CD039F" w14:paraId="695637C4" w14:textId="77777777" w:rsidTr="00CD039F">
        <w:trPr>
          <w:cantSplit/>
        </w:trPr>
        <w:tc>
          <w:tcPr>
            <w:tcW w:w="4788" w:type="dxa"/>
          </w:tcPr>
          <w:p w14:paraId="77094F4F" w14:textId="77777777" w:rsidR="00CD039F" w:rsidRPr="00CD039F" w:rsidRDefault="00CD039F" w:rsidP="00C34597">
            <w:pPr>
              <w:pStyle w:val="Heading8"/>
            </w:pPr>
            <w:r w:rsidRPr="00CD039F">
              <w:t>records retention schedule, modifications thereof and requests for departure therefrom</w:t>
            </w:r>
          </w:p>
        </w:tc>
        <w:tc>
          <w:tcPr>
            <w:tcW w:w="4788" w:type="dxa"/>
          </w:tcPr>
          <w:p w14:paraId="3B34881B" w14:textId="77777777" w:rsidR="00CD039F" w:rsidRPr="00CD039F" w:rsidRDefault="00CD039F" w:rsidP="00DB6C79">
            <w:pPr>
              <w:pStyle w:val="TableText"/>
              <w:spacing w:before="240"/>
            </w:pPr>
            <w:r w:rsidRPr="00CD039F">
              <w:t>permanent</w:t>
            </w:r>
          </w:p>
        </w:tc>
      </w:tr>
      <w:tr w:rsidR="00C34597" w:rsidRPr="00CD039F" w14:paraId="26744A23" w14:textId="77777777" w:rsidTr="00CE1E71">
        <w:trPr>
          <w:cantSplit/>
        </w:trPr>
        <w:tc>
          <w:tcPr>
            <w:tcW w:w="9576" w:type="dxa"/>
            <w:gridSpan w:val="2"/>
          </w:tcPr>
          <w:p w14:paraId="2BA650BE" w14:textId="77777777" w:rsidR="00C34597" w:rsidRPr="00CD039F" w:rsidRDefault="00C34597" w:rsidP="007A0CAC">
            <w:pPr>
              <w:pStyle w:val="Heading7"/>
              <w:keepNext/>
              <w:jc w:val="both"/>
            </w:pPr>
            <w:r w:rsidRPr="00CD039F">
              <w:lastRenderedPageBreak/>
              <w:t>Payroll Documents</w:t>
            </w:r>
            <w:r w:rsidRPr="00C34597">
              <w:rPr>
                <w:b w:val="0"/>
              </w:rPr>
              <w:t xml:space="preserve"> – </w:t>
            </w:r>
            <w:r w:rsidRPr="007A0CAC">
              <w:rPr>
                <w:b w:val="0"/>
              </w:rPr>
              <w:t xml:space="preserve">Payroll documents and supporting data should be kept in such manner that the </w:t>
            </w:r>
            <w:r w:rsidR="00C71261">
              <w:rPr>
                <w:b w:val="0"/>
              </w:rPr>
              <w:t>Corporation</w:t>
            </w:r>
            <w:r w:rsidRPr="007A0CAC">
              <w:rPr>
                <w:b w:val="0"/>
              </w:rPr>
              <w:t xml:space="preserve"> can prove that it has fulfilled its responsibilities under the Wage and Hour Rules of the Department of Labor, as well as to enable the</w:t>
            </w:r>
            <w:r w:rsidR="007A0CAC" w:rsidRPr="007A0CAC">
              <w:rPr>
                <w:b w:val="0"/>
              </w:rPr>
              <w:t xml:space="preserve"> </w:t>
            </w:r>
            <w:r w:rsidR="00C71261">
              <w:rPr>
                <w:b w:val="0"/>
              </w:rPr>
              <w:t>Corporation</w:t>
            </w:r>
            <w:r w:rsidRPr="007A0CAC">
              <w:rPr>
                <w:b w:val="0"/>
              </w:rPr>
              <w:t xml:space="preserve"> to compute the payment of any pension (see Section I below).</w:t>
            </w:r>
            <w:r>
              <w:rPr>
                <w:b w:val="0"/>
              </w:rPr>
              <w:t xml:space="preserve">  </w:t>
            </w:r>
          </w:p>
        </w:tc>
      </w:tr>
      <w:tr w:rsidR="00CD039F" w:rsidRPr="00CD039F" w14:paraId="1B776F02" w14:textId="77777777" w:rsidTr="00CD039F">
        <w:trPr>
          <w:cantSplit/>
        </w:trPr>
        <w:tc>
          <w:tcPr>
            <w:tcW w:w="4788" w:type="dxa"/>
          </w:tcPr>
          <w:p w14:paraId="564CF4A2" w14:textId="77777777" w:rsidR="00CD039F" w:rsidRPr="00CD039F" w:rsidRDefault="00CD039F" w:rsidP="00C34597">
            <w:pPr>
              <w:pStyle w:val="Heading8"/>
            </w:pPr>
            <w:r w:rsidRPr="00CD039F">
              <w:t>employee earnings records</w:t>
            </w:r>
          </w:p>
        </w:tc>
        <w:tc>
          <w:tcPr>
            <w:tcW w:w="4788" w:type="dxa"/>
          </w:tcPr>
          <w:p w14:paraId="6151D579" w14:textId="77777777" w:rsidR="00CD039F" w:rsidRPr="00CD039F" w:rsidRDefault="00CD039F" w:rsidP="00DB6C79">
            <w:pPr>
              <w:pStyle w:val="TableText"/>
              <w:spacing w:before="240"/>
            </w:pPr>
            <w:r w:rsidRPr="00CD039F">
              <w:t>permanent</w:t>
            </w:r>
          </w:p>
        </w:tc>
      </w:tr>
      <w:tr w:rsidR="00CD039F" w:rsidRPr="00CD039F" w14:paraId="4D958CDB" w14:textId="77777777" w:rsidTr="00CD039F">
        <w:trPr>
          <w:cantSplit/>
        </w:trPr>
        <w:tc>
          <w:tcPr>
            <w:tcW w:w="4788" w:type="dxa"/>
          </w:tcPr>
          <w:p w14:paraId="4FEA505B" w14:textId="77777777" w:rsidR="00CD039F" w:rsidRPr="00CD039F" w:rsidRDefault="00CD039F" w:rsidP="00C34597">
            <w:pPr>
              <w:pStyle w:val="Heading8"/>
            </w:pPr>
            <w:r w:rsidRPr="00CD039F">
              <w:t>payroll registers (gross and net)</w:t>
            </w:r>
          </w:p>
        </w:tc>
        <w:tc>
          <w:tcPr>
            <w:tcW w:w="4788" w:type="dxa"/>
          </w:tcPr>
          <w:p w14:paraId="6B198879" w14:textId="77777777" w:rsidR="00CD039F" w:rsidRPr="00CD039F" w:rsidRDefault="00C34597" w:rsidP="00DB6C79">
            <w:pPr>
              <w:pStyle w:val="TableText"/>
              <w:spacing w:before="240"/>
            </w:pPr>
            <w:r>
              <w:t>7 </w:t>
            </w:r>
            <w:r w:rsidR="00CD039F" w:rsidRPr="00CD039F">
              <w:t>years</w:t>
            </w:r>
          </w:p>
        </w:tc>
      </w:tr>
      <w:tr w:rsidR="00CD039F" w:rsidRPr="00CD039F" w14:paraId="5ED5A7BD" w14:textId="77777777" w:rsidTr="00CD039F">
        <w:trPr>
          <w:cantSplit/>
        </w:trPr>
        <w:tc>
          <w:tcPr>
            <w:tcW w:w="4788" w:type="dxa"/>
          </w:tcPr>
          <w:p w14:paraId="7D4993FB" w14:textId="77777777" w:rsidR="00CD039F" w:rsidRPr="00CD039F" w:rsidRDefault="00CD039F" w:rsidP="00C34597">
            <w:pPr>
              <w:pStyle w:val="Heading8"/>
            </w:pPr>
            <w:r w:rsidRPr="00CD039F">
              <w:t>employee deduction authorizations</w:t>
            </w:r>
          </w:p>
        </w:tc>
        <w:tc>
          <w:tcPr>
            <w:tcW w:w="4788" w:type="dxa"/>
          </w:tcPr>
          <w:p w14:paraId="0ABF1001" w14:textId="77777777" w:rsidR="00CD039F" w:rsidRPr="00CD039F" w:rsidRDefault="00C34597" w:rsidP="00DB6C79">
            <w:pPr>
              <w:pStyle w:val="TableText"/>
              <w:spacing w:before="240"/>
            </w:pPr>
            <w:r>
              <w:t>4 </w:t>
            </w:r>
            <w:r w:rsidR="00CD039F" w:rsidRPr="00CD039F">
              <w:t>years after termination</w:t>
            </w:r>
          </w:p>
        </w:tc>
      </w:tr>
      <w:tr w:rsidR="00CD039F" w:rsidRPr="00CD039F" w14:paraId="50E5BF1F" w14:textId="77777777" w:rsidTr="00CD039F">
        <w:trPr>
          <w:cantSplit/>
        </w:trPr>
        <w:tc>
          <w:tcPr>
            <w:tcW w:w="4788" w:type="dxa"/>
          </w:tcPr>
          <w:p w14:paraId="4590F266" w14:textId="77777777" w:rsidR="00CD039F" w:rsidRPr="00CD039F" w:rsidRDefault="00CD039F" w:rsidP="00C34597">
            <w:pPr>
              <w:pStyle w:val="Heading8"/>
            </w:pPr>
            <w:r w:rsidRPr="00CD039F">
              <w:t>assignments, attachments and garnishments</w:t>
            </w:r>
          </w:p>
        </w:tc>
        <w:tc>
          <w:tcPr>
            <w:tcW w:w="4788" w:type="dxa"/>
          </w:tcPr>
          <w:p w14:paraId="64B00CBE" w14:textId="77777777" w:rsidR="00CD039F" w:rsidRPr="00CD039F" w:rsidRDefault="00C34597" w:rsidP="00DB6C79">
            <w:pPr>
              <w:pStyle w:val="TableText"/>
              <w:spacing w:before="240"/>
            </w:pPr>
            <w:r>
              <w:t>3 </w:t>
            </w:r>
            <w:r w:rsidR="00CD039F" w:rsidRPr="00CD039F">
              <w:t>ye</w:t>
            </w:r>
            <w:r>
              <w:t>ars after payment or settlement</w:t>
            </w:r>
            <w:r>
              <w:rPr>
                <w:rStyle w:val="FootnoteReference"/>
              </w:rPr>
              <w:footnoteReference w:id="4"/>
            </w:r>
          </w:p>
        </w:tc>
      </w:tr>
      <w:tr w:rsidR="00CD039F" w:rsidRPr="00CD039F" w14:paraId="231D49EB" w14:textId="77777777" w:rsidTr="00CD039F">
        <w:trPr>
          <w:cantSplit/>
        </w:trPr>
        <w:tc>
          <w:tcPr>
            <w:tcW w:w="4788" w:type="dxa"/>
          </w:tcPr>
          <w:p w14:paraId="18E1E9E5" w14:textId="77777777" w:rsidR="00CD039F" w:rsidRPr="00CD039F" w:rsidRDefault="00CD039F" w:rsidP="00C34597">
            <w:pPr>
              <w:pStyle w:val="Heading8"/>
            </w:pPr>
            <w:r w:rsidRPr="00CD039F">
              <w:t>time sheets</w:t>
            </w:r>
          </w:p>
        </w:tc>
        <w:tc>
          <w:tcPr>
            <w:tcW w:w="4788" w:type="dxa"/>
          </w:tcPr>
          <w:p w14:paraId="2DD6C3AB" w14:textId="77777777" w:rsidR="00CD039F" w:rsidRPr="00CD039F" w:rsidRDefault="00C34597" w:rsidP="00DB6C79">
            <w:pPr>
              <w:pStyle w:val="TableText"/>
              <w:spacing w:before="240"/>
            </w:pPr>
            <w:r>
              <w:t>2 </w:t>
            </w:r>
            <w:r w:rsidR="00CD039F" w:rsidRPr="00CD039F">
              <w:t>years</w:t>
            </w:r>
          </w:p>
        </w:tc>
      </w:tr>
      <w:tr w:rsidR="00C34597" w:rsidRPr="00CD039F" w14:paraId="444DDA4D" w14:textId="77777777" w:rsidTr="00CE1E71">
        <w:trPr>
          <w:cantSplit/>
        </w:trPr>
        <w:tc>
          <w:tcPr>
            <w:tcW w:w="9576" w:type="dxa"/>
            <w:gridSpan w:val="2"/>
          </w:tcPr>
          <w:p w14:paraId="35A98B32" w14:textId="77777777" w:rsidR="00C34597" w:rsidRPr="00CD039F" w:rsidRDefault="00C34597" w:rsidP="007A0CAC">
            <w:pPr>
              <w:pStyle w:val="Heading7"/>
              <w:keepNext/>
              <w:jc w:val="both"/>
            </w:pPr>
            <w:r w:rsidRPr="00CD039F">
              <w:t>Pension Documents and Supporting Employee Data</w:t>
            </w:r>
            <w:r w:rsidRPr="00C34597">
              <w:rPr>
                <w:b w:val="0"/>
              </w:rPr>
              <w:t xml:space="preserve"> – Pension documents and supporting employee data should be retained in such manner and for such periods that the</w:t>
            </w:r>
            <w:r w:rsidR="007A0CAC">
              <w:rPr>
                <w:b w:val="0"/>
              </w:rPr>
              <w:t xml:space="preserve"> </w:t>
            </w:r>
            <w:r w:rsidR="00C71261">
              <w:rPr>
                <w:b w:val="0"/>
              </w:rPr>
              <w:t>Corporation</w:t>
            </w:r>
            <w:r w:rsidRPr="007A0CAC">
              <w:rPr>
                <w:b w:val="0"/>
              </w:rPr>
              <w:t xml:space="preserve"> can establish</w:t>
            </w:r>
            <w:r w:rsidRPr="00C34597">
              <w:rPr>
                <w:b w:val="0"/>
              </w:rPr>
              <w:t xml:space="preserve"> at all times whether or not any pension is payable to any person and if so, the amount of such pension.</w:t>
            </w:r>
            <w:r>
              <w:rPr>
                <w:b w:val="0"/>
              </w:rPr>
              <w:t xml:space="preserve">  </w:t>
            </w:r>
          </w:p>
        </w:tc>
      </w:tr>
      <w:tr w:rsidR="00CD039F" w:rsidRPr="00CD039F" w14:paraId="4E9BFF9E" w14:textId="77777777" w:rsidTr="00CD039F">
        <w:trPr>
          <w:cantSplit/>
        </w:trPr>
        <w:tc>
          <w:tcPr>
            <w:tcW w:w="4788" w:type="dxa"/>
          </w:tcPr>
          <w:p w14:paraId="79BC8D57" w14:textId="77777777" w:rsidR="00CD039F" w:rsidRPr="00CD039F" w:rsidRDefault="00CD039F" w:rsidP="00C34597">
            <w:pPr>
              <w:pStyle w:val="Heading8"/>
            </w:pPr>
            <w:r w:rsidRPr="00CD039F">
              <w:t>pension plans and amendments thereto</w:t>
            </w:r>
          </w:p>
        </w:tc>
        <w:tc>
          <w:tcPr>
            <w:tcW w:w="4788" w:type="dxa"/>
          </w:tcPr>
          <w:p w14:paraId="51874CD9" w14:textId="77777777" w:rsidR="00CD039F" w:rsidRPr="00CD039F" w:rsidRDefault="00CD039F" w:rsidP="00DB6C79">
            <w:pPr>
              <w:pStyle w:val="TableText"/>
              <w:spacing w:before="240"/>
            </w:pPr>
            <w:r w:rsidRPr="00CD039F">
              <w:t>permanent</w:t>
            </w:r>
          </w:p>
        </w:tc>
      </w:tr>
      <w:tr w:rsidR="00CD039F" w:rsidRPr="00CD039F" w14:paraId="40802E58" w14:textId="77777777" w:rsidTr="00CD039F">
        <w:trPr>
          <w:cantSplit/>
        </w:trPr>
        <w:tc>
          <w:tcPr>
            <w:tcW w:w="4788" w:type="dxa"/>
          </w:tcPr>
          <w:p w14:paraId="51AA219F" w14:textId="77777777" w:rsidR="00CD039F" w:rsidRPr="00CD039F" w:rsidRDefault="00CD039F" w:rsidP="00C34597">
            <w:pPr>
              <w:pStyle w:val="Heading8"/>
            </w:pPr>
            <w:r w:rsidRPr="00CD039F">
              <w:t>pension plan determination letters</w:t>
            </w:r>
          </w:p>
        </w:tc>
        <w:tc>
          <w:tcPr>
            <w:tcW w:w="4788" w:type="dxa"/>
          </w:tcPr>
          <w:p w14:paraId="06D8A6B5" w14:textId="77777777" w:rsidR="00CD039F" w:rsidRPr="00CD039F" w:rsidRDefault="00CD039F" w:rsidP="00DB6C79">
            <w:pPr>
              <w:pStyle w:val="TableText"/>
              <w:spacing w:before="240"/>
            </w:pPr>
            <w:r w:rsidRPr="00CD039F">
              <w:t>permanent</w:t>
            </w:r>
          </w:p>
        </w:tc>
      </w:tr>
      <w:tr w:rsidR="00CD039F" w:rsidRPr="00CD039F" w14:paraId="1B6FCD3D" w14:textId="77777777" w:rsidTr="00CD039F">
        <w:trPr>
          <w:cantSplit/>
        </w:trPr>
        <w:tc>
          <w:tcPr>
            <w:tcW w:w="4788" w:type="dxa"/>
          </w:tcPr>
          <w:p w14:paraId="107EAF7A" w14:textId="77777777" w:rsidR="00CD039F" w:rsidRPr="00CD039F" w:rsidRDefault="00CD039F" w:rsidP="00C34597">
            <w:pPr>
              <w:pStyle w:val="Heading8"/>
            </w:pPr>
            <w:r w:rsidRPr="00CD039F">
              <w:t>records of employee service and eligibility for pension (including hours worked and any breaks in service)</w:t>
            </w:r>
          </w:p>
        </w:tc>
        <w:tc>
          <w:tcPr>
            <w:tcW w:w="4788" w:type="dxa"/>
          </w:tcPr>
          <w:p w14:paraId="671E9610" w14:textId="77777777" w:rsidR="00CD039F" w:rsidRPr="00CD039F" w:rsidRDefault="00CD039F" w:rsidP="00DB6C79">
            <w:pPr>
              <w:pStyle w:val="TableText"/>
              <w:spacing w:before="240"/>
            </w:pPr>
            <w:r w:rsidRPr="00CD039F">
              <w:t>permanent</w:t>
            </w:r>
          </w:p>
        </w:tc>
      </w:tr>
      <w:tr w:rsidR="00CD039F" w:rsidRPr="00CD039F" w14:paraId="7E2C9209" w14:textId="77777777" w:rsidTr="00CD039F">
        <w:trPr>
          <w:cantSplit/>
        </w:trPr>
        <w:tc>
          <w:tcPr>
            <w:tcW w:w="4788" w:type="dxa"/>
          </w:tcPr>
          <w:p w14:paraId="2B216671" w14:textId="77777777" w:rsidR="00CD039F" w:rsidRPr="00CD039F" w:rsidRDefault="00CD039F" w:rsidP="00C34597">
            <w:pPr>
              <w:pStyle w:val="Heading8"/>
            </w:pPr>
            <w:r w:rsidRPr="00CD039F">
              <w:t>required personal information on current and former employees (name, address, SSN, period of employment, hourly or salaried pay)</w:t>
            </w:r>
          </w:p>
        </w:tc>
        <w:tc>
          <w:tcPr>
            <w:tcW w:w="4788" w:type="dxa"/>
          </w:tcPr>
          <w:p w14:paraId="3B63C941" w14:textId="77777777" w:rsidR="00CD039F" w:rsidRPr="00CD039F" w:rsidRDefault="00CD039F" w:rsidP="00DB6C79">
            <w:pPr>
              <w:pStyle w:val="TableText"/>
              <w:spacing w:before="240"/>
            </w:pPr>
            <w:r w:rsidRPr="00CD039F">
              <w:t>permanent</w:t>
            </w:r>
          </w:p>
        </w:tc>
      </w:tr>
      <w:tr w:rsidR="00CD039F" w:rsidRPr="00CD039F" w14:paraId="40763D8D" w14:textId="77777777" w:rsidTr="00CD039F">
        <w:trPr>
          <w:cantSplit/>
        </w:trPr>
        <w:tc>
          <w:tcPr>
            <w:tcW w:w="4788" w:type="dxa"/>
          </w:tcPr>
          <w:p w14:paraId="0EEB51CB" w14:textId="77777777" w:rsidR="00CD039F" w:rsidRPr="00CD039F" w:rsidRDefault="00CD039F" w:rsidP="00C34597">
            <w:pPr>
              <w:pStyle w:val="Heading8"/>
            </w:pPr>
            <w:r w:rsidRPr="00CD039F">
              <w:t>records of plan administrator setting forth authority to pay</w:t>
            </w:r>
          </w:p>
        </w:tc>
        <w:tc>
          <w:tcPr>
            <w:tcW w:w="4788" w:type="dxa"/>
          </w:tcPr>
          <w:p w14:paraId="74AD8939" w14:textId="77777777" w:rsidR="00CD039F" w:rsidRPr="00CD039F" w:rsidRDefault="00CD039F" w:rsidP="00DB6C79">
            <w:pPr>
              <w:pStyle w:val="TableText"/>
              <w:spacing w:before="240"/>
            </w:pPr>
            <w:r w:rsidRPr="00CD039F">
              <w:t>permanent</w:t>
            </w:r>
          </w:p>
        </w:tc>
      </w:tr>
      <w:tr w:rsidR="00CD039F" w:rsidRPr="00CD039F" w14:paraId="0479E542" w14:textId="77777777" w:rsidTr="00CD039F">
        <w:trPr>
          <w:cantSplit/>
        </w:trPr>
        <w:tc>
          <w:tcPr>
            <w:tcW w:w="4788" w:type="dxa"/>
          </w:tcPr>
          <w:p w14:paraId="13242F27" w14:textId="77777777" w:rsidR="00CD039F" w:rsidRPr="00CD039F" w:rsidRDefault="00CD039F" w:rsidP="00C34597">
            <w:pPr>
              <w:pStyle w:val="Heading8"/>
            </w:pPr>
            <w:r w:rsidRPr="00CD039F">
              <w:t>records of pension paid to employees or their beneficiaries</w:t>
            </w:r>
          </w:p>
        </w:tc>
        <w:tc>
          <w:tcPr>
            <w:tcW w:w="4788" w:type="dxa"/>
          </w:tcPr>
          <w:p w14:paraId="6E31B857" w14:textId="77777777" w:rsidR="00CD039F" w:rsidRPr="00CD039F" w:rsidRDefault="00C34597" w:rsidP="00DB6C79">
            <w:pPr>
              <w:pStyle w:val="TableText"/>
              <w:spacing w:before="240"/>
            </w:pPr>
            <w:r>
              <w:t>6 </w:t>
            </w:r>
            <w:r w:rsidR="00CD039F" w:rsidRPr="00CD039F">
              <w:t>years after payment</w:t>
            </w:r>
          </w:p>
        </w:tc>
      </w:tr>
      <w:tr w:rsidR="00CD039F" w:rsidRPr="00CD039F" w14:paraId="7C922FDC" w14:textId="77777777" w:rsidTr="00CD039F">
        <w:trPr>
          <w:cantSplit/>
        </w:trPr>
        <w:tc>
          <w:tcPr>
            <w:tcW w:w="4788" w:type="dxa"/>
          </w:tcPr>
          <w:p w14:paraId="535CCDFF" w14:textId="77777777" w:rsidR="00CD039F" w:rsidRPr="00CD039F" w:rsidRDefault="00CD039F" w:rsidP="00C34597">
            <w:pPr>
              <w:pStyle w:val="Heading8"/>
            </w:pPr>
            <w:r w:rsidRPr="00CD039F">
              <w:t>reports of pensions or pension plans filed with the Department of Labor or Internal Revenue Service</w:t>
            </w:r>
          </w:p>
        </w:tc>
        <w:tc>
          <w:tcPr>
            <w:tcW w:w="4788" w:type="dxa"/>
          </w:tcPr>
          <w:p w14:paraId="2A57923E" w14:textId="77777777" w:rsidR="00CD039F" w:rsidRPr="00CD039F" w:rsidRDefault="00C34597" w:rsidP="00DB6C79">
            <w:pPr>
              <w:pStyle w:val="TableText"/>
              <w:spacing w:before="240"/>
            </w:pPr>
            <w:r>
              <w:t>6 </w:t>
            </w:r>
            <w:r w:rsidR="00CD039F" w:rsidRPr="00CD039F">
              <w:t>years after filing</w:t>
            </w:r>
          </w:p>
        </w:tc>
      </w:tr>
      <w:tr w:rsidR="00C34597" w:rsidRPr="00CD039F" w14:paraId="16B8E2DC" w14:textId="77777777" w:rsidTr="00CE1E71">
        <w:trPr>
          <w:cantSplit/>
        </w:trPr>
        <w:tc>
          <w:tcPr>
            <w:tcW w:w="9576" w:type="dxa"/>
            <w:gridSpan w:val="2"/>
          </w:tcPr>
          <w:p w14:paraId="0F42F4E0" w14:textId="77777777" w:rsidR="00C34597" w:rsidRPr="00CD039F" w:rsidRDefault="00C34597" w:rsidP="00496A6D">
            <w:pPr>
              <w:pStyle w:val="Heading7"/>
              <w:keepNext/>
            </w:pPr>
            <w:r w:rsidRPr="00CD039F">
              <w:lastRenderedPageBreak/>
              <w:t>Personnel</w:t>
            </w:r>
          </w:p>
        </w:tc>
      </w:tr>
      <w:tr w:rsidR="00CD039F" w:rsidRPr="00CD039F" w14:paraId="598907A3" w14:textId="77777777" w:rsidTr="00CD039F">
        <w:trPr>
          <w:cantSplit/>
        </w:trPr>
        <w:tc>
          <w:tcPr>
            <w:tcW w:w="4788" w:type="dxa"/>
          </w:tcPr>
          <w:p w14:paraId="4DE3CF36" w14:textId="77777777" w:rsidR="00CD039F" w:rsidRPr="00CD039F" w:rsidRDefault="00CD039F" w:rsidP="002A2C44">
            <w:pPr>
              <w:pStyle w:val="Heading8"/>
            </w:pPr>
            <w:r w:rsidRPr="00CD039F">
              <w:t>medical histories or health data</w:t>
            </w:r>
          </w:p>
        </w:tc>
        <w:tc>
          <w:tcPr>
            <w:tcW w:w="4788" w:type="dxa"/>
          </w:tcPr>
          <w:p w14:paraId="37913AC9" w14:textId="77777777" w:rsidR="00CD039F" w:rsidRPr="00CD039F" w:rsidRDefault="00CD039F" w:rsidP="00DB6C79">
            <w:pPr>
              <w:pStyle w:val="TableText"/>
              <w:spacing w:before="240"/>
            </w:pPr>
            <w:r w:rsidRPr="00CD039F">
              <w:t>permanent</w:t>
            </w:r>
          </w:p>
        </w:tc>
      </w:tr>
      <w:tr w:rsidR="00CD039F" w:rsidRPr="00CD039F" w14:paraId="5BD8D954" w14:textId="77777777" w:rsidTr="00CD039F">
        <w:trPr>
          <w:cantSplit/>
        </w:trPr>
        <w:tc>
          <w:tcPr>
            <w:tcW w:w="4788" w:type="dxa"/>
          </w:tcPr>
          <w:p w14:paraId="78F6D127" w14:textId="77777777" w:rsidR="00CD039F" w:rsidRPr="00CD039F" w:rsidRDefault="00CD039F" w:rsidP="002A2C44">
            <w:pPr>
              <w:pStyle w:val="Heading8"/>
            </w:pPr>
            <w:r w:rsidRPr="00CD039F">
              <w:t>earnings records</w:t>
            </w:r>
          </w:p>
        </w:tc>
        <w:tc>
          <w:tcPr>
            <w:tcW w:w="4788" w:type="dxa"/>
          </w:tcPr>
          <w:p w14:paraId="2FC2B650" w14:textId="77777777" w:rsidR="00CD039F" w:rsidRPr="00CD039F" w:rsidRDefault="00CD039F" w:rsidP="00DB6C79">
            <w:pPr>
              <w:pStyle w:val="TableText"/>
              <w:spacing w:before="240"/>
            </w:pPr>
            <w:r w:rsidRPr="00CD039F">
              <w:t>permanent</w:t>
            </w:r>
          </w:p>
        </w:tc>
      </w:tr>
      <w:tr w:rsidR="00CD039F" w:rsidRPr="00CD039F" w14:paraId="1170317F" w14:textId="77777777" w:rsidTr="00CD039F">
        <w:trPr>
          <w:cantSplit/>
        </w:trPr>
        <w:tc>
          <w:tcPr>
            <w:tcW w:w="4788" w:type="dxa"/>
          </w:tcPr>
          <w:p w14:paraId="2916432F" w14:textId="77777777" w:rsidR="00CD039F" w:rsidRPr="00CD039F" w:rsidRDefault="00CD039F" w:rsidP="002A2C44">
            <w:pPr>
              <w:pStyle w:val="Heading8"/>
            </w:pPr>
            <w:r w:rsidRPr="00CD039F">
              <w:t>personnel records, including individual attendance records, application forms, performance evaluations, termination papers, exit interview records, withholding information, garnishments, test results, etc</w:t>
            </w:r>
            <w:r w:rsidR="002A2C44">
              <w:t>.</w:t>
            </w:r>
          </w:p>
        </w:tc>
        <w:tc>
          <w:tcPr>
            <w:tcW w:w="4788" w:type="dxa"/>
          </w:tcPr>
          <w:p w14:paraId="561C297B" w14:textId="77777777" w:rsidR="00CD039F" w:rsidRPr="00CD039F" w:rsidRDefault="002A2C44" w:rsidP="00DB6C79">
            <w:pPr>
              <w:pStyle w:val="TableText"/>
              <w:spacing w:before="240"/>
            </w:pPr>
            <w:r>
              <w:t>6 </w:t>
            </w:r>
            <w:r w:rsidR="00CD039F" w:rsidRPr="00CD039F">
              <w:t>years after termination</w:t>
            </w:r>
          </w:p>
        </w:tc>
      </w:tr>
      <w:tr w:rsidR="00CD039F" w:rsidRPr="00CD039F" w14:paraId="4D2D69F7" w14:textId="77777777" w:rsidTr="00CD039F">
        <w:trPr>
          <w:cantSplit/>
        </w:trPr>
        <w:tc>
          <w:tcPr>
            <w:tcW w:w="4788" w:type="dxa"/>
          </w:tcPr>
          <w:p w14:paraId="18279880" w14:textId="77777777" w:rsidR="00CD039F" w:rsidRPr="00CD039F" w:rsidRDefault="00CD039F" w:rsidP="002A2C44">
            <w:pPr>
              <w:pStyle w:val="Heading8"/>
            </w:pPr>
            <w:r w:rsidRPr="00CD039F">
              <w:t>employment contracts</w:t>
            </w:r>
          </w:p>
        </w:tc>
        <w:tc>
          <w:tcPr>
            <w:tcW w:w="4788" w:type="dxa"/>
          </w:tcPr>
          <w:p w14:paraId="4212254A" w14:textId="77777777" w:rsidR="00CD039F" w:rsidRPr="00CD039F" w:rsidRDefault="002A2C44" w:rsidP="00DB6C79">
            <w:pPr>
              <w:pStyle w:val="TableText"/>
              <w:spacing w:before="240"/>
            </w:pPr>
            <w:r>
              <w:t>7 </w:t>
            </w:r>
            <w:r w:rsidR="00CD039F" w:rsidRPr="00CD039F">
              <w:t>years after expiration or termination</w:t>
            </w:r>
          </w:p>
        </w:tc>
      </w:tr>
      <w:tr w:rsidR="00CD039F" w:rsidRPr="00CD039F" w14:paraId="6EAE2284" w14:textId="77777777" w:rsidTr="00CD039F">
        <w:trPr>
          <w:cantSplit/>
        </w:trPr>
        <w:tc>
          <w:tcPr>
            <w:tcW w:w="4788" w:type="dxa"/>
          </w:tcPr>
          <w:p w14:paraId="6246F9A7" w14:textId="77777777" w:rsidR="00CD039F" w:rsidRPr="00CD039F" w:rsidRDefault="00CD039F" w:rsidP="002A2C44">
            <w:pPr>
              <w:pStyle w:val="Heading8"/>
            </w:pPr>
            <w:r w:rsidRPr="00CD039F">
              <w:t>commissions, bonuses, incentives, awards, etc.</w:t>
            </w:r>
          </w:p>
        </w:tc>
        <w:tc>
          <w:tcPr>
            <w:tcW w:w="4788" w:type="dxa"/>
          </w:tcPr>
          <w:p w14:paraId="57E45C19" w14:textId="77777777" w:rsidR="00CD039F" w:rsidRPr="00CD039F" w:rsidRDefault="002A2C44" w:rsidP="00DB6C79">
            <w:pPr>
              <w:pStyle w:val="TableText"/>
              <w:spacing w:before="240"/>
            </w:pPr>
            <w:r>
              <w:t>7 </w:t>
            </w:r>
            <w:r w:rsidR="00CD039F" w:rsidRPr="00CD039F">
              <w:t>years</w:t>
            </w:r>
          </w:p>
        </w:tc>
      </w:tr>
      <w:tr w:rsidR="00CD039F" w:rsidRPr="00CD039F" w14:paraId="28B2542D" w14:textId="77777777" w:rsidTr="00CD039F">
        <w:trPr>
          <w:cantSplit/>
        </w:trPr>
        <w:tc>
          <w:tcPr>
            <w:tcW w:w="4788" w:type="dxa"/>
          </w:tcPr>
          <w:p w14:paraId="296F1053" w14:textId="77777777" w:rsidR="00CD039F" w:rsidRPr="00CD039F" w:rsidRDefault="00CD039F" w:rsidP="002A2C44">
            <w:pPr>
              <w:pStyle w:val="Heading8"/>
            </w:pPr>
            <w:r w:rsidRPr="00CD039F">
              <w:t>job descriptions</w:t>
            </w:r>
          </w:p>
        </w:tc>
        <w:tc>
          <w:tcPr>
            <w:tcW w:w="4788" w:type="dxa"/>
          </w:tcPr>
          <w:p w14:paraId="24D2090F" w14:textId="77777777" w:rsidR="00CD039F" w:rsidRPr="00CD039F" w:rsidRDefault="002A2C44" w:rsidP="00DB6C79">
            <w:pPr>
              <w:pStyle w:val="TableText"/>
              <w:spacing w:before="240"/>
            </w:pPr>
            <w:r>
              <w:t>3 </w:t>
            </w:r>
            <w:r w:rsidR="00CD039F" w:rsidRPr="00CD039F">
              <w:t>years after superseded</w:t>
            </w:r>
          </w:p>
        </w:tc>
      </w:tr>
      <w:tr w:rsidR="00CD039F" w:rsidRPr="00CD039F" w14:paraId="6D1297AB" w14:textId="77777777" w:rsidTr="00CD039F">
        <w:trPr>
          <w:cantSplit/>
        </w:trPr>
        <w:tc>
          <w:tcPr>
            <w:tcW w:w="4788" w:type="dxa"/>
          </w:tcPr>
          <w:p w14:paraId="5C540003" w14:textId="77777777" w:rsidR="00CD039F" w:rsidRPr="00CD039F" w:rsidRDefault="00CD039F" w:rsidP="002A2C44">
            <w:pPr>
              <w:pStyle w:val="Heading8"/>
            </w:pPr>
            <w:r w:rsidRPr="00CD039F">
              <w:t>affirmative action programs</w:t>
            </w:r>
          </w:p>
        </w:tc>
        <w:tc>
          <w:tcPr>
            <w:tcW w:w="4788" w:type="dxa"/>
          </w:tcPr>
          <w:p w14:paraId="1D915FBD" w14:textId="77777777" w:rsidR="00CD039F" w:rsidRPr="00CD039F" w:rsidRDefault="002A2C44" w:rsidP="00DB6C79">
            <w:pPr>
              <w:pStyle w:val="TableText"/>
              <w:spacing w:before="240"/>
            </w:pPr>
            <w:r>
              <w:t>5 </w:t>
            </w:r>
            <w:r w:rsidR="00CD039F" w:rsidRPr="00CD039F">
              <w:t>years after superseded</w:t>
            </w:r>
          </w:p>
        </w:tc>
      </w:tr>
      <w:tr w:rsidR="00CD039F" w:rsidRPr="00CD039F" w14:paraId="1E5B08B3" w14:textId="77777777" w:rsidTr="00CD039F">
        <w:trPr>
          <w:cantSplit/>
        </w:trPr>
        <w:tc>
          <w:tcPr>
            <w:tcW w:w="4788" w:type="dxa"/>
          </w:tcPr>
          <w:p w14:paraId="7D517C4B" w14:textId="77777777" w:rsidR="00CD039F" w:rsidRPr="00CD039F" w:rsidRDefault="00CD039F" w:rsidP="002A2C44">
            <w:pPr>
              <w:pStyle w:val="Heading8"/>
            </w:pPr>
            <w:r w:rsidRPr="00CD039F">
              <w:t>training programs</w:t>
            </w:r>
          </w:p>
        </w:tc>
        <w:tc>
          <w:tcPr>
            <w:tcW w:w="4788" w:type="dxa"/>
          </w:tcPr>
          <w:p w14:paraId="3A1A4F25" w14:textId="77777777" w:rsidR="00CD039F" w:rsidRPr="00CD039F" w:rsidRDefault="00CD039F" w:rsidP="00DB6C79">
            <w:pPr>
              <w:pStyle w:val="TableText"/>
              <w:spacing w:before="240"/>
            </w:pPr>
            <w:r w:rsidRPr="00CD039F">
              <w:t>permanent</w:t>
            </w:r>
          </w:p>
        </w:tc>
      </w:tr>
      <w:tr w:rsidR="00CD039F" w:rsidRPr="00CD039F" w14:paraId="4E43CAD5" w14:textId="77777777" w:rsidTr="00CD039F">
        <w:trPr>
          <w:cantSplit/>
        </w:trPr>
        <w:tc>
          <w:tcPr>
            <w:tcW w:w="4788" w:type="dxa"/>
          </w:tcPr>
          <w:p w14:paraId="25696EBB" w14:textId="77777777" w:rsidR="00CD039F" w:rsidRPr="00CD039F" w:rsidRDefault="00CD039F" w:rsidP="002A2C44">
            <w:pPr>
              <w:pStyle w:val="Heading8"/>
            </w:pPr>
            <w:r w:rsidRPr="00CD039F">
              <w:t>EEO</w:t>
            </w:r>
            <w:r w:rsidR="002A2C44">
              <w:noBreakHyphen/>
            </w:r>
            <w:r w:rsidRPr="00CD039F">
              <w:t>1/EEO</w:t>
            </w:r>
            <w:r w:rsidR="002A2C44">
              <w:noBreakHyphen/>
            </w:r>
            <w:r w:rsidRPr="00CD039F">
              <w:t>2 employer information reports</w:t>
            </w:r>
          </w:p>
        </w:tc>
        <w:tc>
          <w:tcPr>
            <w:tcW w:w="4788" w:type="dxa"/>
          </w:tcPr>
          <w:p w14:paraId="58C9BC25" w14:textId="77777777" w:rsidR="00CD039F" w:rsidRPr="00CD039F" w:rsidRDefault="002A2C44" w:rsidP="00DB6C79">
            <w:pPr>
              <w:pStyle w:val="TableText"/>
              <w:spacing w:before="240"/>
            </w:pPr>
            <w:r>
              <w:t>2 </w:t>
            </w:r>
            <w:r w:rsidR="00CD039F" w:rsidRPr="00CD039F">
              <w:t>years after superseded or filing (whichever is longer)</w:t>
            </w:r>
          </w:p>
        </w:tc>
      </w:tr>
      <w:tr w:rsidR="00CD039F" w:rsidRPr="00CD039F" w14:paraId="22FEC727" w14:textId="77777777" w:rsidTr="00CD039F">
        <w:trPr>
          <w:cantSplit/>
        </w:trPr>
        <w:tc>
          <w:tcPr>
            <w:tcW w:w="4788" w:type="dxa"/>
          </w:tcPr>
          <w:p w14:paraId="19C91CBB" w14:textId="77777777" w:rsidR="00CD039F" w:rsidRPr="00CD039F" w:rsidRDefault="00CD039F" w:rsidP="002A2C44">
            <w:pPr>
              <w:pStyle w:val="Heading8"/>
            </w:pPr>
            <w:r w:rsidRPr="00CD039F">
              <w:t>applications, resumes, results of pre-employment physicals, background investigations and related correspondence for non-hired applicants</w:t>
            </w:r>
          </w:p>
        </w:tc>
        <w:tc>
          <w:tcPr>
            <w:tcW w:w="4788" w:type="dxa"/>
          </w:tcPr>
          <w:p w14:paraId="535FF31F" w14:textId="77777777" w:rsidR="00CD039F" w:rsidRPr="00CD039F" w:rsidRDefault="00CD039F" w:rsidP="00DB6C79">
            <w:pPr>
              <w:pStyle w:val="TableText"/>
              <w:spacing w:before="240"/>
            </w:pPr>
            <w:r w:rsidRPr="00CD039F">
              <w:t>2</w:t>
            </w:r>
            <w:r w:rsidR="002A2C44">
              <w:noBreakHyphen/>
              <w:t>4 years (4 </w:t>
            </w:r>
            <w:r w:rsidRPr="00CD039F">
              <w:t>years if file contains any correspondence that might be construed as an offer)</w:t>
            </w:r>
          </w:p>
        </w:tc>
      </w:tr>
      <w:tr w:rsidR="00CD039F" w:rsidRPr="00CD039F" w14:paraId="3D85CCF2" w14:textId="77777777" w:rsidTr="00CD039F">
        <w:trPr>
          <w:cantSplit/>
        </w:trPr>
        <w:tc>
          <w:tcPr>
            <w:tcW w:w="4788" w:type="dxa"/>
          </w:tcPr>
          <w:p w14:paraId="232AE34F" w14:textId="77777777" w:rsidR="00CD039F" w:rsidRPr="00CD039F" w:rsidRDefault="00CD039F" w:rsidP="002A2C44">
            <w:pPr>
              <w:pStyle w:val="Heading8"/>
            </w:pPr>
            <w:r w:rsidRPr="00CD039F">
              <w:t>correspondence with employment agencies and advertisements for job openings</w:t>
            </w:r>
          </w:p>
        </w:tc>
        <w:tc>
          <w:tcPr>
            <w:tcW w:w="4788" w:type="dxa"/>
          </w:tcPr>
          <w:p w14:paraId="3F5F13C2" w14:textId="77777777" w:rsidR="00CD039F" w:rsidRPr="00CD039F" w:rsidRDefault="002A2C44" w:rsidP="00DB6C79">
            <w:pPr>
              <w:pStyle w:val="TableText"/>
              <w:spacing w:before="240"/>
            </w:pPr>
            <w:r>
              <w:t>2 </w:t>
            </w:r>
            <w:r w:rsidR="00CD039F" w:rsidRPr="00CD039F">
              <w:t>years from date of hiring decision</w:t>
            </w:r>
          </w:p>
        </w:tc>
      </w:tr>
      <w:tr w:rsidR="00CD039F" w:rsidRPr="00CD039F" w14:paraId="764E02F2" w14:textId="77777777" w:rsidTr="00CD039F">
        <w:trPr>
          <w:cantSplit/>
        </w:trPr>
        <w:tc>
          <w:tcPr>
            <w:tcW w:w="4788" w:type="dxa"/>
          </w:tcPr>
          <w:p w14:paraId="51144717" w14:textId="77777777" w:rsidR="00CD039F" w:rsidRPr="00CD039F" w:rsidRDefault="00CD039F" w:rsidP="002A2C44">
            <w:pPr>
              <w:pStyle w:val="Heading8"/>
            </w:pPr>
            <w:r w:rsidRPr="00CD039F">
              <w:t>employee handbooks</w:t>
            </w:r>
          </w:p>
        </w:tc>
        <w:tc>
          <w:tcPr>
            <w:tcW w:w="4788" w:type="dxa"/>
          </w:tcPr>
          <w:p w14:paraId="11F81BC5" w14:textId="77777777" w:rsidR="00CD039F" w:rsidRPr="00CD039F" w:rsidRDefault="00CD039F" w:rsidP="00DB6C79">
            <w:pPr>
              <w:pStyle w:val="TableText"/>
              <w:spacing w:before="240"/>
            </w:pPr>
            <w:r w:rsidRPr="00CD039F">
              <w:t>permanent (at least one copy of each version)</w:t>
            </w:r>
          </w:p>
        </w:tc>
      </w:tr>
      <w:tr w:rsidR="002A2C44" w:rsidRPr="00CD039F" w14:paraId="4189DC18" w14:textId="77777777" w:rsidTr="00CE1E71">
        <w:trPr>
          <w:cantSplit/>
        </w:trPr>
        <w:tc>
          <w:tcPr>
            <w:tcW w:w="9576" w:type="dxa"/>
            <w:gridSpan w:val="2"/>
          </w:tcPr>
          <w:p w14:paraId="29D3E877" w14:textId="77777777" w:rsidR="002A2C44" w:rsidRPr="00CD039F" w:rsidRDefault="002A2C44" w:rsidP="00496A6D">
            <w:pPr>
              <w:pStyle w:val="Heading7"/>
              <w:keepNext/>
            </w:pPr>
            <w:r w:rsidRPr="00CD039F">
              <w:t>Facility and Property Records</w:t>
            </w:r>
          </w:p>
        </w:tc>
      </w:tr>
      <w:tr w:rsidR="00CD039F" w:rsidRPr="00CD039F" w14:paraId="3F6A55F5" w14:textId="77777777" w:rsidTr="00CD039F">
        <w:trPr>
          <w:cantSplit/>
        </w:trPr>
        <w:tc>
          <w:tcPr>
            <w:tcW w:w="4788" w:type="dxa"/>
          </w:tcPr>
          <w:p w14:paraId="60CD6DC4" w14:textId="77777777" w:rsidR="00CD039F" w:rsidRPr="00CD039F" w:rsidRDefault="00CD039F" w:rsidP="002A2C44">
            <w:pPr>
              <w:pStyle w:val="Heading8"/>
            </w:pPr>
            <w:r w:rsidRPr="00CD039F">
              <w:t>purchase, sale or lease agreements of facility</w:t>
            </w:r>
          </w:p>
        </w:tc>
        <w:tc>
          <w:tcPr>
            <w:tcW w:w="4788" w:type="dxa"/>
          </w:tcPr>
          <w:p w14:paraId="43F8EB5E" w14:textId="77777777" w:rsidR="00CD039F" w:rsidRPr="00CD039F" w:rsidRDefault="002A2C44" w:rsidP="00DB6C79">
            <w:pPr>
              <w:pStyle w:val="TableText"/>
              <w:spacing w:before="240"/>
            </w:pPr>
            <w:r>
              <w:t>7 </w:t>
            </w:r>
            <w:r w:rsidR="00CD039F" w:rsidRPr="00CD039F">
              <w:t>years after expiration</w:t>
            </w:r>
          </w:p>
        </w:tc>
      </w:tr>
      <w:tr w:rsidR="00CD039F" w:rsidRPr="00CD039F" w14:paraId="4A36918C" w14:textId="77777777" w:rsidTr="00CD039F">
        <w:trPr>
          <w:cantSplit/>
        </w:trPr>
        <w:tc>
          <w:tcPr>
            <w:tcW w:w="4788" w:type="dxa"/>
          </w:tcPr>
          <w:p w14:paraId="6D70658D" w14:textId="77777777" w:rsidR="00CD039F" w:rsidRPr="00CD039F" w:rsidRDefault="00CD039F" w:rsidP="002A2C44">
            <w:pPr>
              <w:pStyle w:val="Heading8"/>
            </w:pPr>
            <w:r w:rsidRPr="00CD039F">
              <w:t>correspondence, property deeds, easements, licenses, rights of way and miscellaneous documents relating to facility</w:t>
            </w:r>
          </w:p>
        </w:tc>
        <w:tc>
          <w:tcPr>
            <w:tcW w:w="4788" w:type="dxa"/>
          </w:tcPr>
          <w:p w14:paraId="0BF4D25B" w14:textId="77777777" w:rsidR="00CD039F" w:rsidRPr="00CD039F" w:rsidRDefault="00CD039F" w:rsidP="00DB6C79">
            <w:pPr>
              <w:pStyle w:val="TableText"/>
              <w:spacing w:before="240"/>
            </w:pPr>
            <w:r w:rsidRPr="00CD039F">
              <w:t>permanent</w:t>
            </w:r>
          </w:p>
        </w:tc>
      </w:tr>
      <w:tr w:rsidR="00CD039F" w:rsidRPr="00CD039F" w14:paraId="1FF5BDBA" w14:textId="77777777" w:rsidTr="00CD039F">
        <w:trPr>
          <w:cantSplit/>
        </w:trPr>
        <w:tc>
          <w:tcPr>
            <w:tcW w:w="4788" w:type="dxa"/>
          </w:tcPr>
          <w:p w14:paraId="2A7A934F" w14:textId="77777777" w:rsidR="00CD039F" w:rsidRPr="00CD039F" w:rsidRDefault="00CD039F" w:rsidP="002A2C44">
            <w:pPr>
              <w:pStyle w:val="Heading8"/>
            </w:pPr>
            <w:r w:rsidRPr="00CD039F">
              <w:t>property insurance policies</w:t>
            </w:r>
          </w:p>
        </w:tc>
        <w:tc>
          <w:tcPr>
            <w:tcW w:w="4788" w:type="dxa"/>
          </w:tcPr>
          <w:p w14:paraId="3B72034F" w14:textId="77777777" w:rsidR="00CD039F" w:rsidRPr="00CD039F" w:rsidRDefault="00CD039F" w:rsidP="00DB6C79">
            <w:pPr>
              <w:pStyle w:val="TableText"/>
              <w:spacing w:before="240"/>
            </w:pPr>
            <w:r w:rsidRPr="00CD039F">
              <w:t>permanent</w:t>
            </w:r>
          </w:p>
        </w:tc>
      </w:tr>
      <w:tr w:rsidR="00CD039F" w:rsidRPr="00CD039F" w14:paraId="388EE6BC" w14:textId="77777777" w:rsidTr="00CD039F">
        <w:trPr>
          <w:cantSplit/>
        </w:trPr>
        <w:tc>
          <w:tcPr>
            <w:tcW w:w="4788" w:type="dxa"/>
          </w:tcPr>
          <w:p w14:paraId="317C3BBF" w14:textId="77777777" w:rsidR="00CD039F" w:rsidRPr="00CD039F" w:rsidRDefault="00CD039F" w:rsidP="002A2C44">
            <w:pPr>
              <w:pStyle w:val="Heading8"/>
            </w:pPr>
            <w:r w:rsidRPr="00CD039F">
              <w:lastRenderedPageBreak/>
              <w:t>fixed asset ledgers (year-end run)</w:t>
            </w:r>
          </w:p>
        </w:tc>
        <w:tc>
          <w:tcPr>
            <w:tcW w:w="4788" w:type="dxa"/>
          </w:tcPr>
          <w:p w14:paraId="060CEA8D" w14:textId="77777777" w:rsidR="00CD039F" w:rsidRPr="00CD039F" w:rsidRDefault="002A2C44" w:rsidP="00DB6C79">
            <w:pPr>
              <w:pStyle w:val="TableText"/>
              <w:spacing w:before="240"/>
            </w:pPr>
            <w:r>
              <w:t>7 years</w:t>
            </w:r>
            <w:r>
              <w:rPr>
                <w:rStyle w:val="FootnoteReference"/>
              </w:rPr>
              <w:footnoteReference w:id="5"/>
            </w:r>
          </w:p>
        </w:tc>
      </w:tr>
      <w:tr w:rsidR="00CD039F" w:rsidRPr="00CD039F" w14:paraId="2407507E" w14:textId="77777777" w:rsidTr="00CD039F">
        <w:trPr>
          <w:cantSplit/>
        </w:trPr>
        <w:tc>
          <w:tcPr>
            <w:tcW w:w="4788" w:type="dxa"/>
          </w:tcPr>
          <w:p w14:paraId="5D368706" w14:textId="77777777" w:rsidR="00CD039F" w:rsidRPr="00CD039F" w:rsidRDefault="00CD039F" w:rsidP="002A2C44">
            <w:pPr>
              <w:pStyle w:val="Heading8"/>
            </w:pPr>
            <w:r w:rsidRPr="00CD039F">
              <w:t>maintenance and repair records</w:t>
            </w:r>
          </w:p>
        </w:tc>
        <w:tc>
          <w:tcPr>
            <w:tcW w:w="4788" w:type="dxa"/>
          </w:tcPr>
          <w:p w14:paraId="0FE6CB06" w14:textId="77777777" w:rsidR="00CD039F" w:rsidRPr="00CD039F" w:rsidRDefault="002A2C44" w:rsidP="00DB6C79">
            <w:pPr>
              <w:pStyle w:val="TableText"/>
              <w:spacing w:before="240"/>
            </w:pPr>
            <w:r>
              <w:t>7 </w:t>
            </w:r>
            <w:r w:rsidR="00CD039F" w:rsidRPr="00CD039F">
              <w:t>years</w:t>
            </w:r>
          </w:p>
        </w:tc>
      </w:tr>
      <w:tr w:rsidR="00CD039F" w:rsidRPr="00CD039F" w14:paraId="528F10C7" w14:textId="77777777" w:rsidTr="00CD039F">
        <w:trPr>
          <w:cantSplit/>
        </w:trPr>
        <w:tc>
          <w:tcPr>
            <w:tcW w:w="4788" w:type="dxa"/>
          </w:tcPr>
          <w:p w14:paraId="47A7A4CD" w14:textId="77777777" w:rsidR="00CD039F" w:rsidRPr="00CD039F" w:rsidRDefault="00CD039F" w:rsidP="002A2C44">
            <w:pPr>
              <w:pStyle w:val="Heading8"/>
            </w:pPr>
            <w:r w:rsidRPr="00CD039F">
              <w:t>property management data</w:t>
            </w:r>
          </w:p>
        </w:tc>
        <w:tc>
          <w:tcPr>
            <w:tcW w:w="4788" w:type="dxa"/>
          </w:tcPr>
          <w:p w14:paraId="056A1AB4" w14:textId="77777777" w:rsidR="00CD039F" w:rsidRPr="00CD039F" w:rsidRDefault="002A2C44" w:rsidP="00DB6C79">
            <w:pPr>
              <w:pStyle w:val="TableText"/>
              <w:spacing w:before="240"/>
            </w:pPr>
            <w:r>
              <w:t>3 </w:t>
            </w:r>
            <w:r w:rsidR="00CD039F" w:rsidRPr="00CD039F">
              <w:t>years after expiration or termination</w:t>
            </w:r>
          </w:p>
        </w:tc>
      </w:tr>
      <w:tr w:rsidR="00CD039F" w:rsidRPr="00CD039F" w14:paraId="30055FD1" w14:textId="77777777" w:rsidTr="00CD039F">
        <w:trPr>
          <w:cantSplit/>
        </w:trPr>
        <w:tc>
          <w:tcPr>
            <w:tcW w:w="4788" w:type="dxa"/>
          </w:tcPr>
          <w:p w14:paraId="558394A2" w14:textId="77777777" w:rsidR="00CD039F" w:rsidRPr="00CD039F" w:rsidRDefault="00CD039F" w:rsidP="002A2C44">
            <w:pPr>
              <w:pStyle w:val="Heading8"/>
            </w:pPr>
            <w:r w:rsidRPr="00CD039F">
              <w:t>mortgage or deed of trust</w:t>
            </w:r>
          </w:p>
        </w:tc>
        <w:tc>
          <w:tcPr>
            <w:tcW w:w="4788" w:type="dxa"/>
          </w:tcPr>
          <w:p w14:paraId="33E9EBBC" w14:textId="77777777" w:rsidR="00CD039F" w:rsidRPr="00CD039F" w:rsidRDefault="002A2C44" w:rsidP="00DB6C79">
            <w:pPr>
              <w:pStyle w:val="TableText"/>
              <w:spacing w:before="240"/>
            </w:pPr>
            <w:r>
              <w:t>10 </w:t>
            </w:r>
            <w:r w:rsidR="00CD039F" w:rsidRPr="00CD039F">
              <w:t>years after satisfaction</w:t>
            </w:r>
          </w:p>
        </w:tc>
      </w:tr>
      <w:tr w:rsidR="002A2C44" w:rsidRPr="00CD039F" w14:paraId="14516E1F" w14:textId="77777777" w:rsidTr="00CE1E71">
        <w:trPr>
          <w:cantSplit/>
        </w:trPr>
        <w:tc>
          <w:tcPr>
            <w:tcW w:w="9576" w:type="dxa"/>
            <w:gridSpan w:val="2"/>
          </w:tcPr>
          <w:p w14:paraId="5939AA91" w14:textId="77777777" w:rsidR="002A2C44" w:rsidRPr="00CD039F" w:rsidRDefault="002A2C44" w:rsidP="00496A6D">
            <w:pPr>
              <w:pStyle w:val="Heading7"/>
              <w:keepNext/>
            </w:pPr>
            <w:r w:rsidRPr="00CD039F">
              <w:t>Intellectual Property</w:t>
            </w:r>
          </w:p>
        </w:tc>
      </w:tr>
      <w:tr w:rsidR="00CD039F" w:rsidRPr="00CD039F" w14:paraId="550DBC0C" w14:textId="77777777" w:rsidTr="00CD039F">
        <w:trPr>
          <w:cantSplit/>
        </w:trPr>
        <w:tc>
          <w:tcPr>
            <w:tcW w:w="4788" w:type="dxa"/>
          </w:tcPr>
          <w:p w14:paraId="12FA4EE4" w14:textId="77777777" w:rsidR="00CD039F" w:rsidRPr="00CD039F" w:rsidRDefault="00CD039F" w:rsidP="002A2C44">
            <w:pPr>
              <w:pStyle w:val="Heading8"/>
            </w:pPr>
            <w:proofErr w:type="spellStart"/>
            <w:r w:rsidRPr="00CD039F">
              <w:t>servicemarks</w:t>
            </w:r>
            <w:proofErr w:type="spellEnd"/>
            <w:r w:rsidRPr="00CD039F">
              <w:t xml:space="preserve"> and copyright</w:t>
            </w:r>
          </w:p>
        </w:tc>
        <w:tc>
          <w:tcPr>
            <w:tcW w:w="4788" w:type="dxa"/>
          </w:tcPr>
          <w:p w14:paraId="27B13A13" w14:textId="77777777" w:rsidR="00CD039F" w:rsidRPr="00CD039F" w:rsidRDefault="00CD039F" w:rsidP="00DB6C79">
            <w:pPr>
              <w:pStyle w:val="TableText"/>
              <w:spacing w:before="240"/>
            </w:pPr>
            <w:r w:rsidRPr="00CD039F">
              <w:t xml:space="preserve">Life of </w:t>
            </w:r>
            <w:proofErr w:type="spellStart"/>
            <w:r w:rsidRPr="00CD039F">
              <w:t>s</w:t>
            </w:r>
            <w:r w:rsidR="002A2C44">
              <w:t>ervicemark</w:t>
            </w:r>
            <w:proofErr w:type="spellEnd"/>
            <w:r w:rsidR="002A2C44">
              <w:t xml:space="preserve"> or copyright plus 10 </w:t>
            </w:r>
            <w:r w:rsidRPr="00CD039F">
              <w:t>years</w:t>
            </w:r>
          </w:p>
        </w:tc>
      </w:tr>
      <w:tr w:rsidR="00CD039F" w:rsidRPr="00CD039F" w14:paraId="532C2BCA" w14:textId="77777777" w:rsidTr="00CD039F">
        <w:trPr>
          <w:cantSplit/>
        </w:trPr>
        <w:tc>
          <w:tcPr>
            <w:tcW w:w="4788" w:type="dxa"/>
          </w:tcPr>
          <w:p w14:paraId="0AF40DB3" w14:textId="77777777" w:rsidR="00CD039F" w:rsidRPr="00CD039F" w:rsidRDefault="00CD039F" w:rsidP="002A2C44">
            <w:pPr>
              <w:pStyle w:val="Heading8"/>
            </w:pPr>
            <w:r w:rsidRPr="00CD039F">
              <w:t>trademarks</w:t>
            </w:r>
          </w:p>
        </w:tc>
        <w:tc>
          <w:tcPr>
            <w:tcW w:w="4788" w:type="dxa"/>
          </w:tcPr>
          <w:p w14:paraId="4FBE50BC" w14:textId="77777777" w:rsidR="00CD039F" w:rsidRPr="00CD039F" w:rsidRDefault="002A2C44" w:rsidP="00DB6C79">
            <w:pPr>
              <w:pStyle w:val="TableText"/>
              <w:spacing w:before="240"/>
            </w:pPr>
            <w:r>
              <w:t>Life of trademark plus 10 </w:t>
            </w:r>
            <w:r w:rsidR="00CD039F" w:rsidRPr="00CD039F">
              <w:t>years</w:t>
            </w:r>
          </w:p>
        </w:tc>
      </w:tr>
      <w:tr w:rsidR="00CD039F" w:rsidRPr="00CD039F" w14:paraId="03548CE3" w14:textId="77777777" w:rsidTr="00CD039F">
        <w:trPr>
          <w:cantSplit/>
        </w:trPr>
        <w:tc>
          <w:tcPr>
            <w:tcW w:w="4788" w:type="dxa"/>
          </w:tcPr>
          <w:p w14:paraId="6098C903" w14:textId="77777777" w:rsidR="00CD039F" w:rsidRPr="00CD039F" w:rsidRDefault="00CD039F" w:rsidP="002A2C44">
            <w:pPr>
              <w:pStyle w:val="Heading8"/>
            </w:pPr>
            <w:r w:rsidRPr="00CD039F">
              <w:t>patents</w:t>
            </w:r>
          </w:p>
        </w:tc>
        <w:tc>
          <w:tcPr>
            <w:tcW w:w="4788" w:type="dxa"/>
          </w:tcPr>
          <w:p w14:paraId="60644FC1" w14:textId="77777777" w:rsidR="00CD039F" w:rsidRPr="00CD039F" w:rsidRDefault="002A2C44" w:rsidP="00DB6C79">
            <w:pPr>
              <w:pStyle w:val="TableText"/>
              <w:spacing w:before="240"/>
            </w:pPr>
            <w:r>
              <w:t>Life of patent plus 10 </w:t>
            </w:r>
            <w:r w:rsidR="00CD039F" w:rsidRPr="00CD039F">
              <w:t>years</w:t>
            </w:r>
          </w:p>
        </w:tc>
      </w:tr>
      <w:tr w:rsidR="002A2C44" w:rsidRPr="00CD039F" w14:paraId="67A9AF5E" w14:textId="77777777" w:rsidTr="00CE1E71">
        <w:trPr>
          <w:cantSplit/>
        </w:trPr>
        <w:tc>
          <w:tcPr>
            <w:tcW w:w="9576" w:type="dxa"/>
            <w:gridSpan w:val="2"/>
          </w:tcPr>
          <w:p w14:paraId="5DAD97E9" w14:textId="77777777" w:rsidR="002A2C44" w:rsidRPr="00CD039F" w:rsidRDefault="002A2C44" w:rsidP="00496A6D">
            <w:pPr>
              <w:pStyle w:val="Heading7"/>
              <w:keepNext/>
            </w:pPr>
            <w:r w:rsidRPr="00CD039F">
              <w:t>Requested Information From Applicants</w:t>
            </w:r>
          </w:p>
        </w:tc>
      </w:tr>
      <w:tr w:rsidR="00CD039F" w:rsidRPr="00CD039F" w14:paraId="1DEDA072" w14:textId="77777777" w:rsidTr="00CD039F">
        <w:trPr>
          <w:cantSplit/>
        </w:trPr>
        <w:tc>
          <w:tcPr>
            <w:tcW w:w="4788" w:type="dxa"/>
          </w:tcPr>
          <w:p w14:paraId="73B9A54D" w14:textId="77777777" w:rsidR="00CD039F" w:rsidRPr="00CD039F" w:rsidRDefault="00CD039F" w:rsidP="002A2C44">
            <w:pPr>
              <w:pStyle w:val="Heading8"/>
            </w:pPr>
            <w:r w:rsidRPr="00CD039F">
              <w:t>scholastic records, resumes, transcripts, placement data and other education-related information</w:t>
            </w:r>
          </w:p>
        </w:tc>
        <w:tc>
          <w:tcPr>
            <w:tcW w:w="4788" w:type="dxa"/>
          </w:tcPr>
          <w:p w14:paraId="34077A5A" w14:textId="77777777" w:rsidR="00CD039F" w:rsidRPr="00CD039F" w:rsidRDefault="002A2C44" w:rsidP="00DB6C79">
            <w:pPr>
              <w:pStyle w:val="TableText"/>
              <w:spacing w:before="240"/>
            </w:pPr>
            <w:r>
              <w:t>4 </w:t>
            </w:r>
            <w:r w:rsidR="00CD039F" w:rsidRPr="00CD039F">
              <w:t>years from granting or denial of application</w:t>
            </w:r>
          </w:p>
        </w:tc>
      </w:tr>
      <w:tr w:rsidR="00CD039F" w:rsidRPr="00CD039F" w14:paraId="0835B862" w14:textId="77777777" w:rsidTr="00CD039F">
        <w:trPr>
          <w:cantSplit/>
        </w:trPr>
        <w:tc>
          <w:tcPr>
            <w:tcW w:w="4788" w:type="dxa"/>
          </w:tcPr>
          <w:p w14:paraId="4030EF69" w14:textId="77777777" w:rsidR="00CD039F" w:rsidRPr="00CD039F" w:rsidRDefault="00CD039F" w:rsidP="002A2C44">
            <w:pPr>
              <w:pStyle w:val="Heading8"/>
            </w:pPr>
            <w:r w:rsidRPr="00CD039F">
              <w:t>medical records, medical histories or other health data or information</w:t>
            </w:r>
          </w:p>
        </w:tc>
        <w:tc>
          <w:tcPr>
            <w:tcW w:w="4788" w:type="dxa"/>
          </w:tcPr>
          <w:p w14:paraId="305D5940" w14:textId="77777777" w:rsidR="00CD039F" w:rsidRPr="00CD039F" w:rsidRDefault="002A2C44" w:rsidP="00DB6C79">
            <w:pPr>
              <w:pStyle w:val="TableText"/>
              <w:spacing w:before="240"/>
            </w:pPr>
            <w:r>
              <w:t>4 </w:t>
            </w:r>
            <w:r w:rsidR="00CD039F" w:rsidRPr="00CD039F">
              <w:t>years from granting or denial of application</w:t>
            </w:r>
          </w:p>
        </w:tc>
      </w:tr>
      <w:tr w:rsidR="00CD039F" w:rsidRPr="00CD039F" w14:paraId="7F63BCF1" w14:textId="77777777" w:rsidTr="00CD039F">
        <w:trPr>
          <w:cantSplit/>
        </w:trPr>
        <w:tc>
          <w:tcPr>
            <w:tcW w:w="4788" w:type="dxa"/>
          </w:tcPr>
          <w:p w14:paraId="0FEF29B2" w14:textId="77777777" w:rsidR="00CD039F" w:rsidRPr="00CD039F" w:rsidRDefault="00CD039F" w:rsidP="002A2C44">
            <w:pPr>
              <w:pStyle w:val="Heading8"/>
            </w:pPr>
            <w:r w:rsidRPr="00CD039F">
              <w:t>grant applications, including any documentation submitted with such application</w:t>
            </w:r>
          </w:p>
        </w:tc>
        <w:tc>
          <w:tcPr>
            <w:tcW w:w="4788" w:type="dxa"/>
          </w:tcPr>
          <w:p w14:paraId="651F5DF0" w14:textId="77777777" w:rsidR="00CD039F" w:rsidRPr="00CD039F" w:rsidRDefault="002A2C44" w:rsidP="00DB6C79">
            <w:pPr>
              <w:pStyle w:val="TableText"/>
              <w:spacing w:before="240"/>
            </w:pPr>
            <w:r>
              <w:t>4 </w:t>
            </w:r>
            <w:r w:rsidR="00CD039F" w:rsidRPr="00CD039F">
              <w:t>years from granting or denial of application</w:t>
            </w:r>
          </w:p>
        </w:tc>
      </w:tr>
      <w:tr w:rsidR="002A2C44" w:rsidRPr="00CD039F" w14:paraId="2E25686C" w14:textId="77777777" w:rsidTr="00CE1E71">
        <w:trPr>
          <w:cantSplit/>
        </w:trPr>
        <w:tc>
          <w:tcPr>
            <w:tcW w:w="9576" w:type="dxa"/>
            <w:gridSpan w:val="2"/>
          </w:tcPr>
          <w:p w14:paraId="305453F3" w14:textId="77777777" w:rsidR="002A2C44" w:rsidRPr="00CD039F" w:rsidRDefault="002A2C44" w:rsidP="007A0CAC">
            <w:pPr>
              <w:pStyle w:val="Heading7"/>
              <w:keepNext/>
              <w:jc w:val="both"/>
            </w:pPr>
            <w:r w:rsidRPr="00CD039F">
              <w:t>Tax Records</w:t>
            </w:r>
            <w:r w:rsidRPr="002A2C44">
              <w:rPr>
                <w:b w:val="0"/>
              </w:rPr>
              <w:t xml:space="preserve"> – The </w:t>
            </w:r>
            <w:r w:rsidR="00C71261">
              <w:rPr>
                <w:b w:val="0"/>
              </w:rPr>
              <w:t>Corporation</w:t>
            </w:r>
            <w:r w:rsidRPr="007A0CAC">
              <w:rPr>
                <w:b w:val="0"/>
              </w:rPr>
              <w:t xml:space="preserve"> must keep books of account or records, including inventories, as are sufficient to establish the amount of gross income, deductions, credits or other matters required to be shown in any such return.  These documents and records must be kept for as long as the contents thereof may become material in the administration of federal, state, and local income, franchise, and property tax laws.  The</w:t>
            </w:r>
            <w:r w:rsidR="007A0CAC" w:rsidRPr="007A0CAC">
              <w:rPr>
                <w:b w:val="0"/>
              </w:rPr>
              <w:t xml:space="preserve"> </w:t>
            </w:r>
            <w:r w:rsidR="00C71261">
              <w:rPr>
                <w:b w:val="0"/>
              </w:rPr>
              <w:t>Corporation</w:t>
            </w:r>
            <w:r w:rsidRPr="007A0CAC">
              <w:rPr>
                <w:b w:val="0"/>
              </w:rPr>
              <w:t xml:space="preserve"> must keep sufficient records to prove its cost basis and to compute its earnings and profits permanently.</w:t>
            </w:r>
            <w:r>
              <w:rPr>
                <w:b w:val="0"/>
              </w:rPr>
              <w:t xml:space="preserve">  </w:t>
            </w:r>
          </w:p>
        </w:tc>
      </w:tr>
      <w:tr w:rsidR="00CD039F" w:rsidRPr="00CD039F" w14:paraId="33967BF6" w14:textId="77777777" w:rsidTr="00CD039F">
        <w:trPr>
          <w:cantSplit/>
        </w:trPr>
        <w:tc>
          <w:tcPr>
            <w:tcW w:w="4788" w:type="dxa"/>
          </w:tcPr>
          <w:p w14:paraId="6C23B439" w14:textId="77777777" w:rsidR="00CD039F" w:rsidRPr="00CD039F" w:rsidRDefault="00CD039F" w:rsidP="002A2C44">
            <w:pPr>
              <w:pStyle w:val="Heading8"/>
            </w:pPr>
            <w:r w:rsidRPr="00CD039F">
              <w:t>tax returns</w:t>
            </w:r>
          </w:p>
        </w:tc>
        <w:tc>
          <w:tcPr>
            <w:tcW w:w="4788" w:type="dxa"/>
          </w:tcPr>
          <w:p w14:paraId="30C5E95E" w14:textId="77777777" w:rsidR="00CD039F" w:rsidRPr="00CD039F" w:rsidRDefault="00CD039F" w:rsidP="00DB6C79">
            <w:pPr>
              <w:pStyle w:val="TableText"/>
              <w:spacing w:before="240"/>
            </w:pPr>
            <w:r w:rsidRPr="00CD039F">
              <w:t>permanent</w:t>
            </w:r>
          </w:p>
        </w:tc>
      </w:tr>
      <w:tr w:rsidR="00CD039F" w:rsidRPr="00CD039F" w14:paraId="577A28D1" w14:textId="77777777" w:rsidTr="00CD039F">
        <w:trPr>
          <w:cantSplit/>
        </w:trPr>
        <w:tc>
          <w:tcPr>
            <w:tcW w:w="4788" w:type="dxa"/>
          </w:tcPr>
          <w:p w14:paraId="2F1E6AC7" w14:textId="77777777" w:rsidR="00CD039F" w:rsidRPr="00CD039F" w:rsidRDefault="00CD039F" w:rsidP="002A2C44">
            <w:pPr>
              <w:pStyle w:val="Heading8"/>
            </w:pPr>
            <w:r w:rsidRPr="00CD039F">
              <w:t>tax bills, receipts and statements</w:t>
            </w:r>
          </w:p>
        </w:tc>
        <w:tc>
          <w:tcPr>
            <w:tcW w:w="4788" w:type="dxa"/>
          </w:tcPr>
          <w:p w14:paraId="3CF3290A" w14:textId="77777777" w:rsidR="00CD039F" w:rsidRPr="00CD039F" w:rsidRDefault="00CD039F" w:rsidP="00DB6C79">
            <w:pPr>
              <w:pStyle w:val="TableText"/>
              <w:spacing w:before="240"/>
            </w:pPr>
            <w:r w:rsidRPr="00CD039F">
              <w:t>permanent</w:t>
            </w:r>
          </w:p>
        </w:tc>
      </w:tr>
      <w:tr w:rsidR="00CD039F" w:rsidRPr="00CD039F" w14:paraId="7CF3715C" w14:textId="77777777" w:rsidTr="00CD039F">
        <w:trPr>
          <w:cantSplit/>
        </w:trPr>
        <w:tc>
          <w:tcPr>
            <w:tcW w:w="4788" w:type="dxa"/>
          </w:tcPr>
          <w:p w14:paraId="047CBF02" w14:textId="77777777" w:rsidR="00CD039F" w:rsidRPr="00CD039F" w:rsidRDefault="00CD039F" w:rsidP="002A2C44">
            <w:pPr>
              <w:pStyle w:val="Heading8"/>
            </w:pPr>
            <w:r w:rsidRPr="00CD039F">
              <w:t>tax workpaper packages originals</w:t>
            </w:r>
          </w:p>
        </w:tc>
        <w:tc>
          <w:tcPr>
            <w:tcW w:w="4788" w:type="dxa"/>
          </w:tcPr>
          <w:p w14:paraId="40B8647A" w14:textId="77777777" w:rsidR="00CD039F" w:rsidRPr="00CD039F" w:rsidRDefault="00CD039F" w:rsidP="00DB6C79">
            <w:pPr>
              <w:pStyle w:val="TableText"/>
              <w:spacing w:before="240"/>
            </w:pPr>
            <w:r w:rsidRPr="00CD039F">
              <w:t>permanent (operating d</w:t>
            </w:r>
            <w:r w:rsidR="002A2C44">
              <w:t>ivision copies to be retained 7 </w:t>
            </w:r>
            <w:r w:rsidRPr="00CD039F">
              <w:t>years)</w:t>
            </w:r>
          </w:p>
        </w:tc>
      </w:tr>
      <w:tr w:rsidR="00CD039F" w:rsidRPr="00CD039F" w14:paraId="77FB452A" w14:textId="77777777" w:rsidTr="00CD039F">
        <w:trPr>
          <w:cantSplit/>
        </w:trPr>
        <w:tc>
          <w:tcPr>
            <w:tcW w:w="4788" w:type="dxa"/>
          </w:tcPr>
          <w:p w14:paraId="2250DCD8" w14:textId="77777777" w:rsidR="00CD039F" w:rsidRPr="00CD039F" w:rsidRDefault="002A2C44" w:rsidP="002A2C44">
            <w:pPr>
              <w:pStyle w:val="Heading8"/>
            </w:pPr>
            <w:r>
              <w:lastRenderedPageBreak/>
              <w:t>payroll tax records (Forms </w:t>
            </w:r>
            <w:r w:rsidR="00CD039F" w:rsidRPr="00CD039F">
              <w:t>W</w:t>
            </w:r>
            <w:r>
              <w:noBreakHyphen/>
            </w:r>
            <w:r w:rsidR="00CD039F" w:rsidRPr="00CD039F">
              <w:t>2’s, W</w:t>
            </w:r>
            <w:r>
              <w:noBreakHyphen/>
            </w:r>
            <w:r w:rsidR="00CD039F" w:rsidRPr="00CD039F">
              <w:t>4’s, 941’s)</w:t>
            </w:r>
          </w:p>
        </w:tc>
        <w:tc>
          <w:tcPr>
            <w:tcW w:w="4788" w:type="dxa"/>
          </w:tcPr>
          <w:p w14:paraId="13351F37" w14:textId="77777777" w:rsidR="00CD039F" w:rsidRPr="00CD039F" w:rsidRDefault="002A2C44" w:rsidP="00DB6C79">
            <w:pPr>
              <w:pStyle w:val="TableText"/>
              <w:spacing w:before="240"/>
            </w:pPr>
            <w:r>
              <w:t>7 years</w:t>
            </w:r>
            <w:r>
              <w:rPr>
                <w:rStyle w:val="FootnoteReference"/>
              </w:rPr>
              <w:footnoteReference w:id="6"/>
            </w:r>
          </w:p>
        </w:tc>
      </w:tr>
      <w:tr w:rsidR="00CD039F" w:rsidRPr="00CD039F" w14:paraId="06FC670D" w14:textId="77777777" w:rsidTr="00CD039F">
        <w:trPr>
          <w:cantSplit/>
        </w:trPr>
        <w:tc>
          <w:tcPr>
            <w:tcW w:w="4788" w:type="dxa"/>
          </w:tcPr>
          <w:p w14:paraId="7D994155" w14:textId="77777777" w:rsidR="00CD039F" w:rsidRPr="00CD039F" w:rsidRDefault="00CD039F" w:rsidP="002A2C44">
            <w:pPr>
              <w:pStyle w:val="Heading8"/>
            </w:pPr>
            <w:r w:rsidRPr="00CD039F">
              <w:t>sales and use tax records</w:t>
            </w:r>
          </w:p>
        </w:tc>
        <w:tc>
          <w:tcPr>
            <w:tcW w:w="4788" w:type="dxa"/>
          </w:tcPr>
          <w:p w14:paraId="7B6C5B6D" w14:textId="77777777" w:rsidR="00CD039F" w:rsidRPr="00CD039F" w:rsidRDefault="00CE1E71" w:rsidP="00DB6C79">
            <w:pPr>
              <w:pStyle w:val="TableText"/>
              <w:spacing w:before="240"/>
            </w:pPr>
            <w:r>
              <w:t>7 </w:t>
            </w:r>
            <w:r w:rsidR="00CD039F" w:rsidRPr="00CD039F">
              <w:t>years</w:t>
            </w:r>
          </w:p>
        </w:tc>
      </w:tr>
      <w:tr w:rsidR="00CD039F" w:rsidRPr="00CD039F" w14:paraId="2A0A2B94" w14:textId="77777777" w:rsidTr="00CD039F">
        <w:trPr>
          <w:cantSplit/>
        </w:trPr>
        <w:tc>
          <w:tcPr>
            <w:tcW w:w="4788" w:type="dxa"/>
          </w:tcPr>
          <w:p w14:paraId="1C0A1A58" w14:textId="77777777" w:rsidR="00CD039F" w:rsidRPr="00CD039F" w:rsidRDefault="00CD039F" w:rsidP="002A2C44">
            <w:pPr>
              <w:pStyle w:val="Heading8"/>
            </w:pPr>
            <w:r w:rsidRPr="00CD039F">
              <w:t>excise tax records</w:t>
            </w:r>
          </w:p>
        </w:tc>
        <w:tc>
          <w:tcPr>
            <w:tcW w:w="4788" w:type="dxa"/>
          </w:tcPr>
          <w:p w14:paraId="4AA1536C" w14:textId="77777777" w:rsidR="00CD039F" w:rsidRPr="00CD039F" w:rsidRDefault="00CE1E71" w:rsidP="00DB6C79">
            <w:pPr>
              <w:pStyle w:val="TableText"/>
              <w:spacing w:before="240"/>
            </w:pPr>
            <w:r>
              <w:t>7 </w:t>
            </w:r>
            <w:r w:rsidR="00CD039F" w:rsidRPr="00CD039F">
              <w:t>years</w:t>
            </w:r>
          </w:p>
        </w:tc>
      </w:tr>
      <w:tr w:rsidR="00CD039F" w:rsidRPr="00CD039F" w14:paraId="5BB537CE" w14:textId="77777777" w:rsidTr="00CD039F">
        <w:trPr>
          <w:cantSplit/>
        </w:trPr>
        <w:tc>
          <w:tcPr>
            <w:tcW w:w="4788" w:type="dxa"/>
          </w:tcPr>
          <w:p w14:paraId="6336A255" w14:textId="77777777" w:rsidR="00CD039F" w:rsidRPr="00CD039F" w:rsidRDefault="00CD039F" w:rsidP="002A2C44">
            <w:pPr>
              <w:pStyle w:val="Heading8"/>
            </w:pPr>
            <w:r w:rsidRPr="00CD039F">
              <w:t>charitable contributions records</w:t>
            </w:r>
          </w:p>
        </w:tc>
        <w:tc>
          <w:tcPr>
            <w:tcW w:w="4788" w:type="dxa"/>
          </w:tcPr>
          <w:p w14:paraId="41FE815A" w14:textId="77777777" w:rsidR="00CD039F" w:rsidRPr="00CD039F" w:rsidRDefault="00CE1E71" w:rsidP="00DB6C79">
            <w:pPr>
              <w:pStyle w:val="TableText"/>
              <w:spacing w:before="240"/>
            </w:pPr>
            <w:r>
              <w:t>7 </w:t>
            </w:r>
            <w:r w:rsidR="00CD039F" w:rsidRPr="00CD039F">
              <w:t>years</w:t>
            </w:r>
          </w:p>
        </w:tc>
      </w:tr>
      <w:tr w:rsidR="00CE1E71" w:rsidRPr="00CD039F" w14:paraId="4C0ABC35" w14:textId="77777777" w:rsidTr="00CE1E71">
        <w:trPr>
          <w:cantSplit/>
        </w:trPr>
        <w:tc>
          <w:tcPr>
            <w:tcW w:w="9576" w:type="dxa"/>
            <w:gridSpan w:val="2"/>
          </w:tcPr>
          <w:p w14:paraId="522AB912" w14:textId="77777777" w:rsidR="00CE1E71" w:rsidRPr="00CD039F" w:rsidRDefault="00CE1E71" w:rsidP="00496A6D">
            <w:pPr>
              <w:pStyle w:val="Heading7"/>
              <w:keepNext/>
            </w:pPr>
            <w:r w:rsidRPr="00CD039F">
              <w:t>General / Miscellaneous</w:t>
            </w:r>
          </w:p>
        </w:tc>
      </w:tr>
      <w:tr w:rsidR="00CD039F" w:rsidRPr="00CD039F" w14:paraId="44D82C81" w14:textId="77777777" w:rsidTr="00CD039F">
        <w:trPr>
          <w:cantSplit/>
        </w:trPr>
        <w:tc>
          <w:tcPr>
            <w:tcW w:w="4788" w:type="dxa"/>
          </w:tcPr>
          <w:p w14:paraId="52E320D5" w14:textId="77777777" w:rsidR="00CD039F" w:rsidRPr="00CD039F" w:rsidRDefault="00CD039F" w:rsidP="00CE1E71">
            <w:pPr>
              <w:pStyle w:val="Heading8"/>
            </w:pPr>
            <w:r w:rsidRPr="00CD039F">
              <w:t>reports from consultants</w:t>
            </w:r>
          </w:p>
        </w:tc>
        <w:tc>
          <w:tcPr>
            <w:tcW w:w="4788" w:type="dxa"/>
          </w:tcPr>
          <w:p w14:paraId="6E6F7493" w14:textId="77777777" w:rsidR="00CD039F" w:rsidRPr="00CD039F" w:rsidRDefault="00CE1E71" w:rsidP="00DB6C79">
            <w:pPr>
              <w:pStyle w:val="TableText"/>
              <w:spacing w:before="240"/>
            </w:pPr>
            <w:r>
              <w:t>2 </w:t>
            </w:r>
            <w:r w:rsidR="00CD039F" w:rsidRPr="00CD039F">
              <w:t>years</w:t>
            </w:r>
          </w:p>
        </w:tc>
      </w:tr>
      <w:tr w:rsidR="00CD039F" w:rsidRPr="00CD039F" w14:paraId="5B1259F3" w14:textId="77777777" w:rsidTr="00CD039F">
        <w:trPr>
          <w:cantSplit/>
        </w:trPr>
        <w:tc>
          <w:tcPr>
            <w:tcW w:w="4788" w:type="dxa"/>
          </w:tcPr>
          <w:p w14:paraId="34302981" w14:textId="77777777" w:rsidR="00CD039F" w:rsidRPr="00CD039F" w:rsidRDefault="00CD039F" w:rsidP="00CE1E71">
            <w:pPr>
              <w:pStyle w:val="Heading8"/>
            </w:pPr>
            <w:r w:rsidRPr="00CD039F">
              <w:t>departmental budgets and related worksheets</w:t>
            </w:r>
          </w:p>
        </w:tc>
        <w:tc>
          <w:tcPr>
            <w:tcW w:w="4788" w:type="dxa"/>
          </w:tcPr>
          <w:p w14:paraId="36B50F22" w14:textId="77777777" w:rsidR="00CD039F" w:rsidRPr="00CD039F" w:rsidRDefault="00CE1E71" w:rsidP="00DB6C79">
            <w:pPr>
              <w:pStyle w:val="TableText"/>
              <w:spacing w:before="240"/>
            </w:pPr>
            <w:r>
              <w:t>2 </w:t>
            </w:r>
            <w:r w:rsidR="00CD039F" w:rsidRPr="00CD039F">
              <w:t>years</w:t>
            </w:r>
          </w:p>
        </w:tc>
      </w:tr>
      <w:tr w:rsidR="00CD039F" w:rsidRPr="00CD039F" w14:paraId="41437F24" w14:textId="77777777" w:rsidTr="00CD039F">
        <w:trPr>
          <w:cantSplit/>
        </w:trPr>
        <w:tc>
          <w:tcPr>
            <w:tcW w:w="4788" w:type="dxa"/>
          </w:tcPr>
          <w:p w14:paraId="6A11ADDF" w14:textId="77777777" w:rsidR="00CD039F" w:rsidRPr="00CD039F" w:rsidRDefault="00CD039F" w:rsidP="00CE1E71">
            <w:pPr>
              <w:pStyle w:val="Heading8"/>
            </w:pPr>
            <w:r w:rsidRPr="00CD039F">
              <w:t>policy and procedure manuals</w:t>
            </w:r>
          </w:p>
        </w:tc>
        <w:tc>
          <w:tcPr>
            <w:tcW w:w="4788" w:type="dxa"/>
          </w:tcPr>
          <w:p w14:paraId="434821BF" w14:textId="77777777" w:rsidR="00CD039F" w:rsidRPr="00CD039F" w:rsidRDefault="00CD039F" w:rsidP="00DB6C79">
            <w:pPr>
              <w:pStyle w:val="TableText"/>
              <w:spacing w:before="240"/>
            </w:pPr>
            <w:r w:rsidRPr="00CD039F">
              <w:t>permanent for originating department; receiving departments retain only current version</w:t>
            </w:r>
          </w:p>
        </w:tc>
      </w:tr>
      <w:tr w:rsidR="00CD039F" w:rsidRPr="00CD039F" w14:paraId="032322DE" w14:textId="77777777" w:rsidTr="00CD039F">
        <w:trPr>
          <w:cantSplit/>
        </w:trPr>
        <w:tc>
          <w:tcPr>
            <w:tcW w:w="4788" w:type="dxa"/>
          </w:tcPr>
          <w:p w14:paraId="5571715A" w14:textId="77777777" w:rsidR="00CD039F" w:rsidRPr="00CD039F" w:rsidRDefault="00CD039F" w:rsidP="00CE1E71">
            <w:pPr>
              <w:pStyle w:val="Heading8"/>
            </w:pPr>
            <w:r w:rsidRPr="00CD039F">
              <w:t>material of historic value (pictures, publications, etc.)</w:t>
            </w:r>
          </w:p>
        </w:tc>
        <w:tc>
          <w:tcPr>
            <w:tcW w:w="4788" w:type="dxa"/>
          </w:tcPr>
          <w:p w14:paraId="7C166B66" w14:textId="77777777" w:rsidR="00CD039F" w:rsidRPr="00CD039F" w:rsidRDefault="00CD039F" w:rsidP="00DB6C79">
            <w:pPr>
              <w:pStyle w:val="TableText"/>
              <w:spacing w:before="240"/>
            </w:pPr>
            <w:r w:rsidRPr="00CD039F">
              <w:t>permanent</w:t>
            </w:r>
          </w:p>
        </w:tc>
      </w:tr>
      <w:tr w:rsidR="00CD039F" w:rsidRPr="00CD039F" w14:paraId="24868743" w14:textId="77777777" w:rsidTr="00CD039F">
        <w:trPr>
          <w:cantSplit/>
        </w:trPr>
        <w:tc>
          <w:tcPr>
            <w:tcW w:w="4788" w:type="dxa"/>
          </w:tcPr>
          <w:p w14:paraId="75FD4708" w14:textId="77777777" w:rsidR="00CD039F" w:rsidRPr="00CD039F" w:rsidRDefault="00CD039F" w:rsidP="00CE1E71">
            <w:pPr>
              <w:pStyle w:val="Heading8"/>
            </w:pPr>
            <w:r w:rsidRPr="00CD039F">
              <w:t>project files (not otherwise classified)</w:t>
            </w:r>
          </w:p>
        </w:tc>
        <w:tc>
          <w:tcPr>
            <w:tcW w:w="4788" w:type="dxa"/>
          </w:tcPr>
          <w:p w14:paraId="109AFA71" w14:textId="77777777" w:rsidR="00CD039F" w:rsidRPr="00CD039F" w:rsidRDefault="00CD039F" w:rsidP="00DB6C79">
            <w:pPr>
              <w:pStyle w:val="TableText"/>
              <w:spacing w:before="240"/>
            </w:pPr>
            <w:r w:rsidRPr="00CD039F">
              <w:t>review at close of project</w:t>
            </w:r>
          </w:p>
        </w:tc>
      </w:tr>
    </w:tbl>
    <w:p w14:paraId="57FFD062" w14:textId="77777777" w:rsidR="007B1FE2" w:rsidRDefault="007B1FE2" w:rsidP="00EB7714">
      <w:pPr>
        <w:pStyle w:val="TableText"/>
      </w:pPr>
    </w:p>
    <w:p w14:paraId="0BEA1E8A" w14:textId="77777777" w:rsidR="00EB7714" w:rsidRDefault="00EB7714" w:rsidP="004F4A27"/>
    <w:p w14:paraId="2FA24CEE" w14:textId="206A2319" w:rsidR="007F2A66" w:rsidRDefault="007F2A66">
      <w:pPr>
        <w:jc w:val="left"/>
      </w:pPr>
      <w:r>
        <w:br w:type="page"/>
      </w:r>
    </w:p>
    <w:p w14:paraId="3D8A78C1" w14:textId="77777777" w:rsidR="00575269" w:rsidRDefault="00575269" w:rsidP="00421FB8">
      <w:pPr>
        <w:pStyle w:val="BodyText"/>
        <w:keepNext/>
        <w:keepLines/>
        <w:jc w:val="center"/>
        <w:rPr>
          <w:b/>
        </w:rPr>
      </w:pPr>
      <w:r>
        <w:rPr>
          <w:b/>
          <w:u w:val="single"/>
        </w:rPr>
        <w:lastRenderedPageBreak/>
        <w:t>INDEMNIFICATION</w:t>
      </w:r>
    </w:p>
    <w:p w14:paraId="04475A0F" w14:textId="77777777" w:rsidR="00575269" w:rsidRDefault="00575269" w:rsidP="00421FB8">
      <w:pPr>
        <w:pStyle w:val="Heading3"/>
        <w:numPr>
          <w:ilvl w:val="2"/>
          <w:numId w:val="0"/>
        </w:numPr>
        <w:tabs>
          <w:tab w:val="num" w:pos="360"/>
        </w:tabs>
        <w:ind w:firstLine="720"/>
      </w:pPr>
      <w:r>
        <w:t>The Corporation shall</w:t>
      </w:r>
      <w:r>
        <w:rPr>
          <w:b/>
          <w:bCs/>
        </w:rPr>
        <w:t xml:space="preserve"> </w:t>
      </w:r>
      <w:r>
        <w:t xml:space="preserve">indemnify and protect any director, officer, employee, or agent of the Corporation, or any person who serves at the request of the Corporation as a director, officer, employee, member, manager, or agent of another corporation, partnership, limited liability company, joint venture, trust, employee benefit plan, or other enterprise, to the fullest extent permitted by the laws of the State of Missouri.  </w:t>
      </w:r>
    </w:p>
    <w:p w14:paraId="4056B20A" w14:textId="77777777" w:rsidR="00575269" w:rsidRDefault="00575269"/>
    <w:p w14:paraId="22D13B51" w14:textId="662FC720" w:rsidR="00575269" w:rsidRDefault="00575269">
      <w:pPr>
        <w:jc w:val="left"/>
      </w:pPr>
      <w:r>
        <w:br w:type="page"/>
      </w:r>
    </w:p>
    <w:p w14:paraId="67EAB903" w14:textId="77777777" w:rsidR="00575269" w:rsidRDefault="00575269" w:rsidP="0068525B">
      <w:pPr>
        <w:jc w:val="center"/>
        <w:rPr>
          <w:rFonts w:cs="Arial"/>
          <w:sz w:val="28"/>
          <w:szCs w:val="28"/>
        </w:rPr>
      </w:pPr>
      <w:r>
        <w:rPr>
          <w:rFonts w:cs="Arial"/>
          <w:sz w:val="28"/>
          <w:szCs w:val="28"/>
        </w:rPr>
        <w:lastRenderedPageBreak/>
        <w:t xml:space="preserve">[                     </w:t>
      </w:r>
      <w:proofErr w:type="gramStart"/>
      <w:r>
        <w:rPr>
          <w:rFonts w:cs="Arial"/>
          <w:sz w:val="28"/>
          <w:szCs w:val="28"/>
        </w:rPr>
        <w:t xml:space="preserve">  ]</w:t>
      </w:r>
      <w:proofErr w:type="gramEnd"/>
      <w:r>
        <w:rPr>
          <w:rFonts w:cs="Arial"/>
          <w:sz w:val="28"/>
          <w:szCs w:val="28"/>
        </w:rPr>
        <w:t>, Inc.</w:t>
      </w:r>
    </w:p>
    <w:p w14:paraId="32C8A406" w14:textId="77777777" w:rsidR="00575269" w:rsidRPr="00FB6CFF" w:rsidRDefault="00575269" w:rsidP="0068525B">
      <w:pPr>
        <w:jc w:val="center"/>
        <w:rPr>
          <w:rFonts w:cs="Arial"/>
          <w:sz w:val="28"/>
          <w:szCs w:val="28"/>
        </w:rPr>
      </w:pPr>
      <w:r w:rsidRPr="00FB6CFF">
        <w:rPr>
          <w:rFonts w:cs="Arial"/>
          <w:sz w:val="28"/>
          <w:szCs w:val="28"/>
        </w:rPr>
        <w:t>Conflict of Interest Policy</w:t>
      </w:r>
    </w:p>
    <w:p w14:paraId="56493E4A" w14:textId="77777777" w:rsidR="00575269" w:rsidRPr="00FB6CFF" w:rsidRDefault="00575269" w:rsidP="0068525B">
      <w:pPr>
        <w:rPr>
          <w:rFonts w:cs="Arial"/>
          <w:sz w:val="28"/>
          <w:szCs w:val="28"/>
        </w:rPr>
      </w:pPr>
    </w:p>
    <w:p w14:paraId="52E77AFE" w14:textId="77777777" w:rsidR="00575269" w:rsidRPr="00FB6CFF" w:rsidRDefault="00575269" w:rsidP="0068525B">
      <w:pPr>
        <w:spacing w:before="100" w:beforeAutospacing="1" w:after="100" w:afterAutospacing="1"/>
        <w:rPr>
          <w:rFonts w:cs="Arial"/>
          <w:b/>
          <w:u w:val="single"/>
        </w:rPr>
      </w:pPr>
      <w:r w:rsidRPr="00FB6CFF">
        <w:rPr>
          <w:rFonts w:cs="Arial"/>
          <w:b/>
          <w:u w:val="single"/>
        </w:rPr>
        <w:t>I. Statement of Policy</w:t>
      </w:r>
    </w:p>
    <w:p w14:paraId="15664183" w14:textId="77777777" w:rsidR="00575269" w:rsidRDefault="00575269" w:rsidP="0068525B">
      <w:pPr>
        <w:rPr>
          <w:rFonts w:cs="Arial"/>
        </w:rPr>
      </w:pPr>
      <w:r w:rsidRPr="00FB6CFF">
        <w:rPr>
          <w:rFonts w:cs="Arial"/>
        </w:rPr>
        <w:t xml:space="preserve">A possible conflict of interest exists when a director has a material personal interest, either direct or indirect, in a proposed transaction involving </w:t>
      </w:r>
      <w:r>
        <w:rPr>
          <w:rFonts w:cs="Arial"/>
        </w:rPr>
        <w:t xml:space="preserve">[                </w:t>
      </w:r>
      <w:proofErr w:type="gramStart"/>
      <w:r>
        <w:rPr>
          <w:rFonts w:cs="Arial"/>
        </w:rPr>
        <w:t xml:space="preserve">  ]</w:t>
      </w:r>
      <w:proofErr w:type="gramEnd"/>
      <w:r>
        <w:rPr>
          <w:rFonts w:cs="Arial"/>
        </w:rPr>
        <w:t xml:space="preserve">. </w:t>
      </w:r>
    </w:p>
    <w:p w14:paraId="0EEBECE6" w14:textId="77777777" w:rsidR="00575269" w:rsidRDefault="00575269" w:rsidP="0068525B">
      <w:pPr>
        <w:rPr>
          <w:rFonts w:cs="Arial"/>
        </w:rPr>
      </w:pPr>
    </w:p>
    <w:p w14:paraId="0BEBF0C6" w14:textId="77777777" w:rsidR="00575269" w:rsidRPr="00FB6CFF" w:rsidRDefault="00575269" w:rsidP="0068525B">
      <w:pPr>
        <w:rPr>
          <w:rFonts w:cs="Arial"/>
        </w:rPr>
      </w:pPr>
      <w:r>
        <w:rPr>
          <w:rFonts w:cs="Arial"/>
        </w:rPr>
        <w:t>When a director has a material personal</w:t>
      </w:r>
      <w:r w:rsidRPr="00FB6CFF">
        <w:rPr>
          <w:rFonts w:cs="Arial"/>
        </w:rPr>
        <w:t xml:space="preserve"> interest in a transaction being considered by the organization, the director should disclose that conflict before </w:t>
      </w:r>
      <w:r>
        <w:rPr>
          <w:rFonts w:cs="Arial"/>
        </w:rPr>
        <w:t>any</w:t>
      </w:r>
      <w:r w:rsidRPr="00FB6CFF">
        <w:rPr>
          <w:rFonts w:cs="Arial"/>
        </w:rPr>
        <w:t xml:space="preserve"> action </w:t>
      </w:r>
      <w:r>
        <w:rPr>
          <w:rFonts w:cs="Arial"/>
        </w:rPr>
        <w:t xml:space="preserve">is taken </w:t>
      </w:r>
      <w:r w:rsidRPr="00FB6CFF">
        <w:rPr>
          <w:rFonts w:cs="Arial"/>
        </w:rPr>
        <w:t>on the matter.</w:t>
      </w:r>
      <w:r>
        <w:rPr>
          <w:rFonts w:cs="Arial"/>
        </w:rPr>
        <w:t xml:space="preserve"> </w:t>
      </w:r>
      <w:r w:rsidRPr="00FB6CFF">
        <w:rPr>
          <w:rFonts w:cs="Arial"/>
        </w:rPr>
        <w:t xml:space="preserve"> Any board member having a conflict of interest will not vote or use his or her personal influence on the matter and will not be present when the matter is discussed by the board.</w:t>
      </w:r>
      <w:r>
        <w:rPr>
          <w:rFonts w:cs="Arial"/>
        </w:rPr>
        <w:t xml:space="preserve"> </w:t>
      </w:r>
      <w:r w:rsidRPr="00FB6CFF">
        <w:rPr>
          <w:rFonts w:cs="Arial"/>
        </w:rPr>
        <w:t xml:space="preserve"> The minutes of the meeting will reflect that a disclosure was made, and the abstention from voting.</w:t>
      </w:r>
    </w:p>
    <w:p w14:paraId="75809EC3" w14:textId="77777777" w:rsidR="00575269" w:rsidRPr="00FB6CFF" w:rsidRDefault="00575269" w:rsidP="0068525B">
      <w:pPr>
        <w:rPr>
          <w:rFonts w:cs="Arial"/>
        </w:rPr>
      </w:pPr>
      <w:r w:rsidRPr="00FB6CFF">
        <w:rPr>
          <w:rFonts w:cs="Arial"/>
        </w:rPr>
        <w:t> </w:t>
      </w:r>
    </w:p>
    <w:p w14:paraId="62579FF1" w14:textId="77777777" w:rsidR="00575269" w:rsidRPr="00FB6CFF" w:rsidRDefault="00575269" w:rsidP="0068525B">
      <w:pPr>
        <w:rPr>
          <w:rFonts w:cs="Arial"/>
        </w:rPr>
      </w:pPr>
      <w:r w:rsidRPr="00FB6CFF">
        <w:rPr>
          <w:rFonts w:cs="Arial"/>
        </w:rPr>
        <w:t>Directors</w:t>
      </w:r>
      <w:r>
        <w:rPr>
          <w:rFonts w:cs="Arial"/>
        </w:rPr>
        <w:t xml:space="preserve"> and staff members</w:t>
      </w:r>
      <w:r w:rsidRPr="00FB6CFF">
        <w:rPr>
          <w:rFonts w:cs="Arial"/>
        </w:rPr>
        <w:t xml:space="preserve"> will be required to attest annually to their familiarity with this policy and to provide information concerning any possible conflict of interest so that disclosure, if necessary, is made.</w:t>
      </w:r>
    </w:p>
    <w:p w14:paraId="569FB931" w14:textId="77777777" w:rsidR="00575269" w:rsidRPr="00FB6CFF" w:rsidRDefault="00575269" w:rsidP="0068525B">
      <w:pPr>
        <w:rPr>
          <w:rFonts w:cs="Arial"/>
        </w:rPr>
      </w:pPr>
      <w:r w:rsidRPr="00FB6CFF">
        <w:rPr>
          <w:rFonts w:cs="Arial"/>
        </w:rPr>
        <w:t> </w:t>
      </w:r>
    </w:p>
    <w:p w14:paraId="48906212" w14:textId="77777777" w:rsidR="00575269" w:rsidRPr="00FB6CFF" w:rsidRDefault="00575269" w:rsidP="0068525B">
      <w:pPr>
        <w:rPr>
          <w:rFonts w:cs="Arial"/>
        </w:rPr>
      </w:pPr>
      <w:r w:rsidRPr="00FB6CFF">
        <w:rPr>
          <w:rFonts w:cs="Arial"/>
        </w:rPr>
        <w:t>Staff members and their immediate families will not benefit materially from the organization beyond receipt of salaries, fringe benefits, and reimbursement for authorized expenses.</w:t>
      </w:r>
    </w:p>
    <w:p w14:paraId="660F1B23" w14:textId="77777777" w:rsidR="00575269" w:rsidRPr="00FB6CFF" w:rsidRDefault="00575269" w:rsidP="0068525B">
      <w:pPr>
        <w:rPr>
          <w:rFonts w:cs="Arial"/>
        </w:rPr>
      </w:pPr>
      <w:r w:rsidRPr="00FB6CFF">
        <w:rPr>
          <w:rFonts w:cs="Arial"/>
        </w:rPr>
        <w:t> </w:t>
      </w:r>
    </w:p>
    <w:p w14:paraId="6C90FC4E" w14:textId="77777777" w:rsidR="00575269" w:rsidRPr="00FB6CFF" w:rsidRDefault="00575269" w:rsidP="0068525B">
      <w:pPr>
        <w:rPr>
          <w:rFonts w:cs="Arial"/>
          <w:b/>
          <w:u w:val="single"/>
        </w:rPr>
      </w:pPr>
      <w:r w:rsidRPr="00FB6CFF">
        <w:rPr>
          <w:rFonts w:cs="Arial"/>
          <w:b/>
          <w:u w:val="single"/>
        </w:rPr>
        <w:t>II. Definition of Material Personal Interest</w:t>
      </w:r>
    </w:p>
    <w:p w14:paraId="112C4070" w14:textId="77777777" w:rsidR="00575269" w:rsidRDefault="00575269" w:rsidP="0068525B">
      <w:pPr>
        <w:rPr>
          <w:rFonts w:cs="Arial"/>
        </w:rPr>
      </w:pPr>
    </w:p>
    <w:p w14:paraId="69B0C527" w14:textId="77777777" w:rsidR="00575269" w:rsidRPr="00FB6CFF" w:rsidRDefault="00575269" w:rsidP="0068525B">
      <w:pPr>
        <w:rPr>
          <w:rFonts w:cs="Arial"/>
        </w:rPr>
      </w:pPr>
      <w:r w:rsidRPr="00FB6CFF">
        <w:rPr>
          <w:rFonts w:cs="Arial"/>
        </w:rPr>
        <w:t>A material personal interest is: </w:t>
      </w:r>
    </w:p>
    <w:p w14:paraId="3D885969" w14:textId="77777777" w:rsidR="00575269" w:rsidRPr="00FB6CFF" w:rsidRDefault="00575269" w:rsidP="00575269">
      <w:pPr>
        <w:numPr>
          <w:ilvl w:val="0"/>
          <w:numId w:val="11"/>
        </w:numPr>
        <w:spacing w:before="100" w:beforeAutospacing="1" w:after="100" w:afterAutospacing="1"/>
        <w:rPr>
          <w:rFonts w:cs="Arial"/>
        </w:rPr>
      </w:pPr>
      <w:r w:rsidRPr="00FB6CFF">
        <w:rPr>
          <w:rFonts w:cs="Arial"/>
        </w:rPr>
        <w:t xml:space="preserve">an ownership or investment interest in any entity with which </w:t>
      </w:r>
      <w:r>
        <w:rPr>
          <w:rFonts w:cs="Arial"/>
        </w:rPr>
        <w:t xml:space="preserve">[      </w:t>
      </w:r>
      <w:proofErr w:type="gramStart"/>
      <w:r>
        <w:rPr>
          <w:rFonts w:cs="Arial"/>
        </w:rPr>
        <w:t xml:space="preserve">  ]</w:t>
      </w:r>
      <w:proofErr w:type="gramEnd"/>
      <w:r>
        <w:rPr>
          <w:rFonts w:cs="Arial"/>
        </w:rPr>
        <w:t xml:space="preserve"> </w:t>
      </w:r>
      <w:r w:rsidRPr="00FB6CFF">
        <w:rPr>
          <w:rFonts w:cs="Arial"/>
        </w:rPr>
        <w:t>has a transaction or arrangement;</w:t>
      </w:r>
    </w:p>
    <w:p w14:paraId="32DAEEBB" w14:textId="77777777" w:rsidR="00575269" w:rsidRPr="00FB6CFF" w:rsidRDefault="00575269" w:rsidP="00575269">
      <w:pPr>
        <w:numPr>
          <w:ilvl w:val="0"/>
          <w:numId w:val="11"/>
        </w:numPr>
        <w:spacing w:before="100" w:beforeAutospacing="1" w:after="100" w:afterAutospacing="1"/>
        <w:rPr>
          <w:rFonts w:cs="Arial"/>
        </w:rPr>
      </w:pPr>
      <w:r w:rsidRPr="00FB6CFF">
        <w:rPr>
          <w:rFonts w:cs="Arial"/>
        </w:rPr>
        <w:t xml:space="preserve">a compensation arrangement with </w:t>
      </w:r>
      <w:r>
        <w:rPr>
          <w:rFonts w:cs="Arial"/>
        </w:rPr>
        <w:t xml:space="preserve">[                           </w:t>
      </w:r>
      <w:proofErr w:type="gramStart"/>
      <w:r>
        <w:rPr>
          <w:rFonts w:cs="Arial"/>
        </w:rPr>
        <w:t xml:space="preserve">  ]</w:t>
      </w:r>
      <w:proofErr w:type="gramEnd"/>
      <w:r w:rsidRPr="00FB6CFF">
        <w:rPr>
          <w:rFonts w:cs="Arial"/>
        </w:rPr>
        <w:t xml:space="preserve"> or with any entity or individual with which </w:t>
      </w:r>
      <w:r>
        <w:rPr>
          <w:rFonts w:cs="Arial"/>
        </w:rPr>
        <w:t>[                         ]</w:t>
      </w:r>
      <w:r w:rsidRPr="00FB6CFF">
        <w:rPr>
          <w:rFonts w:cs="Arial"/>
        </w:rPr>
        <w:t xml:space="preserve"> has a transaction or arrangement; or </w:t>
      </w:r>
    </w:p>
    <w:p w14:paraId="140550C1" w14:textId="77777777" w:rsidR="00575269" w:rsidRPr="00FB6CFF" w:rsidRDefault="00575269" w:rsidP="00575269">
      <w:pPr>
        <w:numPr>
          <w:ilvl w:val="0"/>
          <w:numId w:val="11"/>
        </w:numPr>
        <w:spacing w:before="100" w:beforeAutospacing="1" w:after="100" w:afterAutospacing="1"/>
        <w:rPr>
          <w:rFonts w:cs="Arial"/>
        </w:rPr>
      </w:pPr>
      <w:r w:rsidRPr="00FB6CFF">
        <w:rPr>
          <w:rFonts w:cs="Arial"/>
        </w:rPr>
        <w:t xml:space="preserve">a potential ownership or investment interest in, or compensation arrangement with, any entity or individual with which </w:t>
      </w:r>
      <w:r>
        <w:rPr>
          <w:rFonts w:cs="Arial"/>
        </w:rPr>
        <w:t xml:space="preserve">[                         </w:t>
      </w:r>
      <w:proofErr w:type="gramStart"/>
      <w:r>
        <w:rPr>
          <w:rFonts w:cs="Arial"/>
        </w:rPr>
        <w:t xml:space="preserve">  ]</w:t>
      </w:r>
      <w:proofErr w:type="gramEnd"/>
      <w:r w:rsidRPr="00FB6CFF">
        <w:rPr>
          <w:rFonts w:cs="Arial"/>
        </w:rPr>
        <w:t xml:space="preserve"> is negotiating a transaction or arrangement.</w:t>
      </w:r>
    </w:p>
    <w:p w14:paraId="2AF7C745" w14:textId="77777777" w:rsidR="00575269" w:rsidRPr="00FB6CFF" w:rsidRDefault="00575269" w:rsidP="0068525B">
      <w:pPr>
        <w:rPr>
          <w:rFonts w:cs="Arial"/>
        </w:rPr>
      </w:pPr>
      <w:r w:rsidRPr="00FB6CFF">
        <w:rPr>
          <w:rFonts w:cs="Arial"/>
        </w:rPr>
        <w:t>Compensation includes direct and indirect remuneration as well as gifts, favors, and non-financial benefits that are not insubstantial.</w:t>
      </w:r>
    </w:p>
    <w:p w14:paraId="7EA45CA8" w14:textId="77777777" w:rsidR="00575269" w:rsidRPr="00FB6CFF" w:rsidRDefault="00575269" w:rsidP="0068525B">
      <w:pPr>
        <w:spacing w:before="100" w:beforeAutospacing="1" w:after="100" w:afterAutospacing="1"/>
        <w:rPr>
          <w:rFonts w:cs="Arial"/>
          <w:b/>
          <w:u w:val="single"/>
        </w:rPr>
      </w:pPr>
      <w:r w:rsidRPr="00FB6CFF">
        <w:rPr>
          <w:rFonts w:cs="Arial"/>
          <w:b/>
          <w:u w:val="single"/>
        </w:rPr>
        <w:t>III. Procedures</w:t>
      </w:r>
    </w:p>
    <w:p w14:paraId="02839AE3" w14:textId="77777777" w:rsidR="00575269" w:rsidRPr="00FB6CFF" w:rsidRDefault="00575269" w:rsidP="00575269">
      <w:pPr>
        <w:numPr>
          <w:ilvl w:val="0"/>
          <w:numId w:val="6"/>
        </w:numPr>
        <w:spacing w:before="100" w:beforeAutospacing="1" w:after="100" w:afterAutospacing="1"/>
        <w:rPr>
          <w:rFonts w:cs="Arial"/>
        </w:rPr>
      </w:pPr>
      <w:r w:rsidRPr="00FB6CFF">
        <w:rPr>
          <w:rFonts w:cs="Arial"/>
        </w:rPr>
        <w:t>The interested director(s) will disclose to the Board, preferably in writing, the material facts as to his or her material personal interest in the transaction and in any corporation, partnership, association or other organization involved in the transaction prior to the meeting at which the Board acts upon the transaction.</w:t>
      </w:r>
    </w:p>
    <w:p w14:paraId="0DD9A1B4" w14:textId="77777777" w:rsidR="00575269" w:rsidRPr="00FB6CFF" w:rsidRDefault="00575269" w:rsidP="00575269">
      <w:pPr>
        <w:numPr>
          <w:ilvl w:val="0"/>
          <w:numId w:val="7"/>
        </w:numPr>
        <w:spacing w:before="100" w:beforeAutospacing="1" w:after="100" w:afterAutospacing="1"/>
        <w:rPr>
          <w:rFonts w:cs="Arial"/>
        </w:rPr>
      </w:pPr>
      <w:r w:rsidRPr="00FB6CFF">
        <w:rPr>
          <w:rFonts w:cs="Arial"/>
        </w:rPr>
        <w:t>The interested director(s) will absent himself or herself from the meeting while the transaction is discussed and acted upon.</w:t>
      </w:r>
    </w:p>
    <w:p w14:paraId="711D2273" w14:textId="77777777" w:rsidR="00575269" w:rsidRPr="00FB6CFF" w:rsidRDefault="00575269" w:rsidP="00575269">
      <w:pPr>
        <w:numPr>
          <w:ilvl w:val="0"/>
          <w:numId w:val="8"/>
        </w:numPr>
        <w:spacing w:before="100" w:beforeAutospacing="1" w:after="100" w:afterAutospacing="1"/>
        <w:rPr>
          <w:rFonts w:cs="Arial"/>
        </w:rPr>
      </w:pPr>
      <w:r w:rsidRPr="00FB6CFF">
        <w:rPr>
          <w:rFonts w:cs="Arial"/>
        </w:rPr>
        <w:t>A disinterested director, or other disinterested party familiar with the transaction, will present evidence of the fairness of the proposed transaction, such as competitive bids or comparable price quotations.</w:t>
      </w:r>
    </w:p>
    <w:p w14:paraId="05BF7F21" w14:textId="77777777" w:rsidR="00575269" w:rsidRPr="00FB6CFF" w:rsidRDefault="00575269" w:rsidP="00575269">
      <w:pPr>
        <w:numPr>
          <w:ilvl w:val="0"/>
          <w:numId w:val="9"/>
        </w:numPr>
        <w:spacing w:before="100" w:beforeAutospacing="1" w:after="100" w:afterAutospacing="1"/>
        <w:rPr>
          <w:rFonts w:cs="Arial"/>
        </w:rPr>
      </w:pPr>
      <w:r w:rsidRPr="00FB6CFF">
        <w:rPr>
          <w:rFonts w:cs="Arial"/>
        </w:rPr>
        <w:lastRenderedPageBreak/>
        <w:t xml:space="preserve">The vote of a majority of the disinterested directors participating in the meeting and constituting a quorum, after reaching a decision regarding whether the proposed transaction is fair to </w:t>
      </w:r>
      <w:r>
        <w:rPr>
          <w:rFonts w:cs="Arial"/>
        </w:rPr>
        <w:t xml:space="preserve">[                   </w:t>
      </w:r>
      <w:proofErr w:type="gramStart"/>
      <w:r>
        <w:rPr>
          <w:rFonts w:cs="Arial"/>
        </w:rPr>
        <w:t xml:space="preserve">  ]</w:t>
      </w:r>
      <w:proofErr w:type="gramEnd"/>
      <w:r w:rsidRPr="00FB6CFF">
        <w:rPr>
          <w:rFonts w:cs="Arial"/>
        </w:rPr>
        <w:t xml:space="preserve">, will be required for approval of the transaction. </w:t>
      </w:r>
      <w:r>
        <w:rPr>
          <w:rFonts w:cs="Arial"/>
        </w:rPr>
        <w:t xml:space="preserve"> </w:t>
      </w:r>
      <w:r w:rsidRPr="00FB6CFF">
        <w:rPr>
          <w:rFonts w:cs="Arial"/>
        </w:rPr>
        <w:t>The minutes for the meeting will reflect that a disclosure of interest was made and that the interested director(s) abstained from voting and was not present during the Board’s consideration of the transaction.</w:t>
      </w:r>
    </w:p>
    <w:p w14:paraId="1E7CD774" w14:textId="77777777" w:rsidR="00575269" w:rsidRPr="00FB6CFF" w:rsidRDefault="00575269" w:rsidP="00575269">
      <w:pPr>
        <w:numPr>
          <w:ilvl w:val="0"/>
          <w:numId w:val="10"/>
        </w:numPr>
        <w:spacing w:before="100" w:beforeAutospacing="1" w:after="100" w:afterAutospacing="1"/>
        <w:rPr>
          <w:rFonts w:cs="Arial"/>
        </w:rPr>
      </w:pPr>
      <w:r w:rsidRPr="00FB6CFF">
        <w:rPr>
          <w:rFonts w:cs="Arial"/>
        </w:rPr>
        <w:t xml:space="preserve">These procedures (i) will apply to transactions approved after the date of adoption of this policy; (ii) will not apply to reimbursement of expenses actually incurred by any director </w:t>
      </w:r>
      <w:proofErr w:type="gramStart"/>
      <w:r w:rsidRPr="00FB6CFF">
        <w:rPr>
          <w:rFonts w:cs="Arial"/>
        </w:rPr>
        <w:t>in the course of</w:t>
      </w:r>
      <w:proofErr w:type="gramEnd"/>
      <w:r w:rsidRPr="00FB6CFF">
        <w:rPr>
          <w:rFonts w:cs="Arial"/>
        </w:rPr>
        <w:t xml:space="preserve"> performing his or her duties as such; and (iii) may be waived or altered in any particular case by vote of a majority of the full Board of Directors for good cause shown.</w:t>
      </w:r>
    </w:p>
    <w:p w14:paraId="3662350A" w14:textId="77777777" w:rsidR="00575269" w:rsidRPr="00FB6CFF" w:rsidRDefault="00575269" w:rsidP="0068525B">
      <w:pPr>
        <w:spacing w:before="100" w:beforeAutospacing="1" w:after="100" w:afterAutospacing="1"/>
        <w:rPr>
          <w:rFonts w:cs="Arial"/>
          <w:b/>
          <w:u w:val="single"/>
        </w:rPr>
      </w:pPr>
      <w:r w:rsidRPr="00FB6CFF">
        <w:rPr>
          <w:rFonts w:cs="Arial"/>
          <w:b/>
          <w:u w:val="single"/>
        </w:rPr>
        <w:t>IV. Potential Conflict Report</w:t>
      </w:r>
    </w:p>
    <w:p w14:paraId="70998770" w14:textId="77777777" w:rsidR="00575269" w:rsidRDefault="00575269" w:rsidP="0068525B">
      <w:pPr>
        <w:rPr>
          <w:rFonts w:cs="Arial"/>
        </w:rPr>
      </w:pPr>
      <w:r w:rsidRPr="00FB6CFF">
        <w:rPr>
          <w:rFonts w:cs="Arial"/>
        </w:rPr>
        <w:t>To assist in implementing this Policy, each proposed new Board member will file a Potential Conflict Report in the form of Exhibit A hereto in connection with the selection process.</w:t>
      </w:r>
      <w:r>
        <w:rPr>
          <w:rFonts w:cs="Arial"/>
        </w:rPr>
        <w:t xml:space="preserve"> </w:t>
      </w:r>
      <w:r w:rsidRPr="00FB6CFF">
        <w:rPr>
          <w:rFonts w:cs="Arial"/>
        </w:rPr>
        <w:t xml:space="preserve"> Existing Board members will file a Potential Conflict Report annually, in June, with the Executive Director, whose responsibility it will be to oversee the annual distribution of such forms to existing Board members.</w:t>
      </w:r>
    </w:p>
    <w:p w14:paraId="4CEDC67A" w14:textId="77777777" w:rsidR="00575269" w:rsidRDefault="00575269" w:rsidP="0068525B">
      <w:pPr>
        <w:rPr>
          <w:rFonts w:cs="Arial"/>
        </w:rPr>
      </w:pPr>
    </w:p>
    <w:p w14:paraId="58E41AA6" w14:textId="77777777" w:rsidR="00575269" w:rsidRDefault="00575269" w:rsidP="0068525B">
      <w:pPr>
        <w:rPr>
          <w:rFonts w:cs="Arial"/>
        </w:rPr>
      </w:pPr>
    </w:p>
    <w:p w14:paraId="41DF3476" w14:textId="77777777" w:rsidR="00575269" w:rsidRDefault="00575269" w:rsidP="0068525B">
      <w:pPr>
        <w:rPr>
          <w:rFonts w:cs="Arial"/>
        </w:rPr>
      </w:pPr>
    </w:p>
    <w:p w14:paraId="2AEC6AC2" w14:textId="77777777" w:rsidR="00575269" w:rsidRDefault="00575269" w:rsidP="0068525B">
      <w:pPr>
        <w:rPr>
          <w:rFonts w:cs="Arial"/>
        </w:rPr>
      </w:pPr>
    </w:p>
    <w:p w14:paraId="4AC870CA" w14:textId="77777777" w:rsidR="00575269" w:rsidRDefault="00575269" w:rsidP="0068525B">
      <w:pPr>
        <w:rPr>
          <w:rFonts w:cs="Arial"/>
        </w:rPr>
      </w:pPr>
    </w:p>
    <w:p w14:paraId="069BC6D5" w14:textId="77777777" w:rsidR="00575269" w:rsidRDefault="00575269" w:rsidP="0068525B">
      <w:pPr>
        <w:rPr>
          <w:rFonts w:cs="Arial"/>
        </w:rPr>
      </w:pPr>
    </w:p>
    <w:p w14:paraId="21279DDE" w14:textId="77777777" w:rsidR="00575269" w:rsidRDefault="00575269" w:rsidP="0068525B">
      <w:pPr>
        <w:rPr>
          <w:rFonts w:cs="Arial"/>
        </w:rPr>
      </w:pPr>
    </w:p>
    <w:p w14:paraId="07E001E1" w14:textId="77777777" w:rsidR="00575269" w:rsidRDefault="00575269" w:rsidP="0068525B">
      <w:pPr>
        <w:rPr>
          <w:rFonts w:cs="Arial"/>
        </w:rPr>
      </w:pPr>
    </w:p>
    <w:p w14:paraId="37B4B901" w14:textId="77777777" w:rsidR="00575269" w:rsidRDefault="00575269" w:rsidP="0068525B">
      <w:pPr>
        <w:rPr>
          <w:rFonts w:cs="Arial"/>
        </w:rPr>
      </w:pPr>
    </w:p>
    <w:p w14:paraId="2B2A31E8" w14:textId="77777777" w:rsidR="00575269" w:rsidRDefault="00575269" w:rsidP="0068525B">
      <w:pPr>
        <w:rPr>
          <w:rFonts w:cs="Arial"/>
        </w:rPr>
      </w:pPr>
    </w:p>
    <w:p w14:paraId="0CC96342" w14:textId="77777777" w:rsidR="00575269" w:rsidRDefault="00575269" w:rsidP="0068525B">
      <w:pPr>
        <w:rPr>
          <w:rFonts w:cs="Arial"/>
        </w:rPr>
      </w:pPr>
    </w:p>
    <w:p w14:paraId="24F18384" w14:textId="77777777" w:rsidR="00575269" w:rsidRDefault="00575269" w:rsidP="0068525B">
      <w:pPr>
        <w:rPr>
          <w:rFonts w:cs="Arial"/>
        </w:rPr>
      </w:pPr>
    </w:p>
    <w:p w14:paraId="604F1CB1" w14:textId="77777777" w:rsidR="00575269" w:rsidRDefault="00575269" w:rsidP="0068525B">
      <w:pPr>
        <w:rPr>
          <w:rFonts w:cs="Arial"/>
        </w:rPr>
      </w:pPr>
    </w:p>
    <w:p w14:paraId="560CA5EA" w14:textId="77777777" w:rsidR="00575269" w:rsidRDefault="00575269" w:rsidP="0068525B">
      <w:pPr>
        <w:rPr>
          <w:rFonts w:cs="Arial"/>
        </w:rPr>
      </w:pPr>
    </w:p>
    <w:p w14:paraId="3E45E643" w14:textId="77777777" w:rsidR="00575269" w:rsidRDefault="00575269" w:rsidP="0068525B">
      <w:pPr>
        <w:rPr>
          <w:rFonts w:cs="Arial"/>
        </w:rPr>
      </w:pPr>
    </w:p>
    <w:p w14:paraId="1A9F7388" w14:textId="77777777" w:rsidR="00575269" w:rsidRDefault="00575269" w:rsidP="0068525B">
      <w:pPr>
        <w:rPr>
          <w:rFonts w:cs="Arial"/>
        </w:rPr>
      </w:pPr>
    </w:p>
    <w:p w14:paraId="721FDE0D" w14:textId="77777777" w:rsidR="00575269" w:rsidRPr="007168B3" w:rsidRDefault="00575269" w:rsidP="007168B3">
      <w:pPr>
        <w:jc w:val="center"/>
        <w:rPr>
          <w:rFonts w:cs="Arial"/>
        </w:rPr>
      </w:pPr>
      <w:r>
        <w:rPr>
          <w:rFonts w:cs="Arial"/>
          <w:b/>
          <w:bCs/>
          <w:u w:val="single"/>
        </w:rPr>
        <w:t>Exhibit A</w:t>
      </w:r>
    </w:p>
    <w:p w14:paraId="4B969B06" w14:textId="77777777" w:rsidR="00575269" w:rsidRPr="00FB6CFF" w:rsidRDefault="00575269" w:rsidP="0068525B">
      <w:pPr>
        <w:rPr>
          <w:rFonts w:cs="Arial"/>
        </w:rPr>
      </w:pPr>
      <w:r w:rsidRPr="00FB6CFF">
        <w:rPr>
          <w:rFonts w:cs="Arial"/>
        </w:rPr>
        <w:t> </w:t>
      </w:r>
    </w:p>
    <w:p w14:paraId="6BC60A39" w14:textId="77777777" w:rsidR="00575269" w:rsidRPr="00E0020E" w:rsidRDefault="00575269" w:rsidP="0068525B">
      <w:pPr>
        <w:rPr>
          <w:rFonts w:cs="Arial"/>
          <w:sz w:val="28"/>
          <w:szCs w:val="28"/>
        </w:rPr>
      </w:pPr>
      <w:r w:rsidRPr="00E0020E">
        <w:rPr>
          <w:rFonts w:cs="Arial"/>
          <w:sz w:val="28"/>
          <w:szCs w:val="28"/>
        </w:rPr>
        <w:t>Potential Conflict of Interest Report</w:t>
      </w:r>
    </w:p>
    <w:p w14:paraId="27830CC4" w14:textId="77777777" w:rsidR="00575269" w:rsidRPr="00FB6CFF" w:rsidRDefault="00575269" w:rsidP="0068525B">
      <w:pPr>
        <w:rPr>
          <w:rFonts w:cs="Arial"/>
        </w:rPr>
      </w:pPr>
      <w:r w:rsidRPr="00FB6CFF">
        <w:rPr>
          <w:rFonts w:cs="Arial"/>
        </w:rPr>
        <w:t> </w:t>
      </w:r>
    </w:p>
    <w:p w14:paraId="698D8FF2" w14:textId="77777777" w:rsidR="00575269" w:rsidRDefault="00575269" w:rsidP="0068525B">
      <w:pPr>
        <w:rPr>
          <w:rFonts w:cs="Arial"/>
        </w:rPr>
      </w:pPr>
    </w:p>
    <w:p w14:paraId="76D82176" w14:textId="77777777" w:rsidR="00575269" w:rsidRPr="00FB6CFF" w:rsidRDefault="00575269" w:rsidP="0068525B">
      <w:pPr>
        <w:rPr>
          <w:rFonts w:cs="Arial"/>
        </w:rPr>
      </w:pPr>
      <w:r w:rsidRPr="00FB6CFF">
        <w:rPr>
          <w:rFonts w:cs="Arial"/>
        </w:rPr>
        <w:t>Please answer all questions.</w:t>
      </w:r>
      <w:r>
        <w:rPr>
          <w:rFonts w:cs="Arial"/>
        </w:rPr>
        <w:t xml:space="preserve"> </w:t>
      </w:r>
      <w:r w:rsidRPr="00FB6CFF">
        <w:rPr>
          <w:rFonts w:cs="Arial"/>
        </w:rPr>
        <w:t xml:space="preserve"> If the answer is “yes,” please explain.</w:t>
      </w:r>
      <w:r>
        <w:rPr>
          <w:rFonts w:cs="Arial"/>
        </w:rPr>
        <w:t xml:space="preserve"> </w:t>
      </w:r>
      <w:r w:rsidRPr="00FB6CFF">
        <w:rPr>
          <w:rFonts w:cs="Arial"/>
        </w:rPr>
        <w:t xml:space="preserve"> An affirmative response does not imply that the relationship is improper or that it should be terminated.</w:t>
      </w:r>
    </w:p>
    <w:p w14:paraId="5C8890F2" w14:textId="77777777" w:rsidR="00575269" w:rsidRPr="00FB6CFF" w:rsidRDefault="00575269" w:rsidP="0068525B">
      <w:pPr>
        <w:rPr>
          <w:rFonts w:cs="Arial"/>
        </w:rPr>
      </w:pPr>
      <w:r w:rsidRPr="00FB6CFF">
        <w:rPr>
          <w:rFonts w:cs="Arial"/>
        </w:rPr>
        <w:t> </w:t>
      </w:r>
    </w:p>
    <w:p w14:paraId="7E2D6F19" w14:textId="77777777" w:rsidR="00575269" w:rsidRPr="00FB6CFF" w:rsidRDefault="00575269" w:rsidP="0068525B">
      <w:pPr>
        <w:rPr>
          <w:rFonts w:cs="Arial"/>
        </w:rPr>
      </w:pPr>
      <w:r w:rsidRPr="00FB6CFF">
        <w:rPr>
          <w:rFonts w:cs="Arial"/>
        </w:rPr>
        <w:t>During the past twelve months, have you or any related party</w:t>
      </w:r>
      <w:r w:rsidRPr="00FB6CFF">
        <w:rPr>
          <w:rStyle w:val="FootnoteReference"/>
          <w:rFonts w:cs="Arial"/>
        </w:rPr>
        <w:t xml:space="preserve"> [1]</w:t>
      </w:r>
      <w:r w:rsidRPr="00FB6CFF">
        <w:rPr>
          <w:rFonts w:cs="Arial"/>
        </w:rPr>
        <w:t xml:space="preserve"> had any interest, direct or indirect, in any contract or transaction with </w:t>
      </w:r>
      <w:r>
        <w:rPr>
          <w:rFonts w:cs="Arial"/>
        </w:rPr>
        <w:t xml:space="preserve">[                     </w:t>
      </w:r>
      <w:proofErr w:type="gramStart"/>
      <w:r>
        <w:rPr>
          <w:rFonts w:cs="Arial"/>
        </w:rPr>
        <w:t xml:space="preserve">  ]</w:t>
      </w:r>
      <w:proofErr w:type="gramEnd"/>
      <w:r w:rsidRPr="00FB6CFF">
        <w:rPr>
          <w:rFonts w:cs="Arial"/>
        </w:rPr>
        <w:t>?</w:t>
      </w:r>
    </w:p>
    <w:p w14:paraId="300C1475" w14:textId="77777777" w:rsidR="00575269" w:rsidRPr="00FB6CFF" w:rsidRDefault="00575269" w:rsidP="0068525B">
      <w:pPr>
        <w:rPr>
          <w:rFonts w:cs="Arial"/>
        </w:rPr>
      </w:pPr>
      <w:r w:rsidRPr="00FB6CFF">
        <w:rPr>
          <w:rFonts w:cs="Arial"/>
        </w:rPr>
        <w:t>________________________________________________________________</w:t>
      </w:r>
    </w:p>
    <w:p w14:paraId="5A79A871" w14:textId="77777777" w:rsidR="00575269" w:rsidRPr="00FB6CFF" w:rsidRDefault="00575269" w:rsidP="0068525B">
      <w:pPr>
        <w:rPr>
          <w:rFonts w:cs="Arial"/>
        </w:rPr>
      </w:pPr>
      <w:r w:rsidRPr="00FB6CFF">
        <w:rPr>
          <w:rFonts w:cs="Arial"/>
        </w:rPr>
        <w:t>__________________________________________________________________</w:t>
      </w:r>
      <w:r>
        <w:rPr>
          <w:rFonts w:cs="Arial"/>
        </w:rPr>
        <w:t>______________________________________________________________</w:t>
      </w:r>
      <w:r w:rsidRPr="00FB6CFF">
        <w:rPr>
          <w:rFonts w:cs="Arial"/>
        </w:rPr>
        <w:t xml:space="preserve">  </w:t>
      </w:r>
    </w:p>
    <w:p w14:paraId="083FCC06" w14:textId="77777777" w:rsidR="00575269" w:rsidRPr="00FB6CFF" w:rsidRDefault="00575269" w:rsidP="0068525B">
      <w:pPr>
        <w:rPr>
          <w:rFonts w:cs="Arial"/>
        </w:rPr>
      </w:pPr>
      <w:r w:rsidRPr="00FB6CFF">
        <w:rPr>
          <w:rFonts w:cs="Arial"/>
        </w:rPr>
        <w:t> </w:t>
      </w:r>
    </w:p>
    <w:p w14:paraId="1282B4E9" w14:textId="77777777" w:rsidR="00575269" w:rsidRPr="00FB6CFF" w:rsidRDefault="00575269" w:rsidP="0068525B">
      <w:pPr>
        <w:rPr>
          <w:rFonts w:cs="Arial"/>
        </w:rPr>
      </w:pPr>
      <w:r w:rsidRPr="00FB6CFF">
        <w:rPr>
          <w:rFonts w:cs="Arial"/>
        </w:rPr>
        <w:lastRenderedPageBreak/>
        <w:t> </w:t>
      </w:r>
    </w:p>
    <w:p w14:paraId="3B6300FF" w14:textId="77777777" w:rsidR="00575269" w:rsidRPr="00FB6CFF" w:rsidRDefault="00575269" w:rsidP="0068525B">
      <w:pPr>
        <w:rPr>
          <w:rFonts w:cs="Arial"/>
        </w:rPr>
      </w:pPr>
      <w:r w:rsidRPr="00FB6CFF">
        <w:rPr>
          <w:rFonts w:cs="Arial"/>
        </w:rPr>
        <w:t xml:space="preserve">Do you or any related party have any interest, direct or indirect, in any pending or proposed contract or transaction with </w:t>
      </w:r>
      <w:r>
        <w:rPr>
          <w:rFonts w:cs="Arial"/>
        </w:rPr>
        <w:t xml:space="preserve">[                                     </w:t>
      </w:r>
      <w:proofErr w:type="gramStart"/>
      <w:r>
        <w:rPr>
          <w:rFonts w:cs="Arial"/>
        </w:rPr>
        <w:t xml:space="preserve">  ]</w:t>
      </w:r>
      <w:proofErr w:type="gramEnd"/>
      <w:r w:rsidRPr="00FB6CFF">
        <w:rPr>
          <w:rFonts w:cs="Arial"/>
        </w:rPr>
        <w:t xml:space="preserve">? </w:t>
      </w:r>
    </w:p>
    <w:p w14:paraId="602A12DF" w14:textId="77777777" w:rsidR="00575269" w:rsidRPr="00FB6CFF" w:rsidRDefault="00575269" w:rsidP="0068525B">
      <w:pPr>
        <w:rPr>
          <w:rFonts w:cs="Arial"/>
        </w:rPr>
      </w:pPr>
      <w:r w:rsidRPr="00FB6CFF">
        <w:rPr>
          <w:rFonts w:cs="Arial"/>
        </w:rPr>
        <w:t>________________________________________________________________</w:t>
      </w:r>
    </w:p>
    <w:p w14:paraId="4922E5DA" w14:textId="77777777" w:rsidR="00575269" w:rsidRPr="00FB6CFF" w:rsidRDefault="00575269" w:rsidP="0068525B">
      <w:pPr>
        <w:rPr>
          <w:rFonts w:cs="Arial"/>
        </w:rPr>
      </w:pPr>
      <w:r w:rsidRPr="00FB6CFF">
        <w:rPr>
          <w:rFonts w:cs="Arial"/>
        </w:rPr>
        <w:t>__________________________________________________________________</w:t>
      </w:r>
      <w:r>
        <w:rPr>
          <w:rFonts w:cs="Arial"/>
        </w:rPr>
        <w:t>______________________________________________________________</w:t>
      </w:r>
      <w:r w:rsidRPr="00FB6CFF">
        <w:rPr>
          <w:rFonts w:cs="Arial"/>
        </w:rPr>
        <w:t xml:space="preserve">  </w:t>
      </w:r>
    </w:p>
    <w:p w14:paraId="5AD8CB2A" w14:textId="77777777" w:rsidR="00575269" w:rsidRPr="00FB6CFF" w:rsidRDefault="00575269" w:rsidP="0068525B">
      <w:pPr>
        <w:rPr>
          <w:rFonts w:cs="Arial"/>
        </w:rPr>
      </w:pPr>
      <w:r w:rsidRPr="00FB6CFF">
        <w:rPr>
          <w:rFonts w:cs="Arial"/>
        </w:rPr>
        <w:t> </w:t>
      </w:r>
    </w:p>
    <w:p w14:paraId="49F6E479" w14:textId="77777777" w:rsidR="00575269" w:rsidRPr="00FB6CFF" w:rsidRDefault="00575269" w:rsidP="0068525B">
      <w:pPr>
        <w:rPr>
          <w:rFonts w:cs="Arial"/>
        </w:rPr>
      </w:pPr>
      <w:r w:rsidRPr="00FB6CFF">
        <w:rPr>
          <w:rFonts w:cs="Arial"/>
        </w:rPr>
        <w:t> </w:t>
      </w:r>
    </w:p>
    <w:p w14:paraId="1FA7C41C" w14:textId="77777777" w:rsidR="00575269" w:rsidRPr="00FB6CFF" w:rsidRDefault="00575269" w:rsidP="0068525B">
      <w:pPr>
        <w:rPr>
          <w:rFonts w:cs="Arial"/>
        </w:rPr>
      </w:pPr>
      <w:r w:rsidRPr="00FB6CFF">
        <w:rPr>
          <w:rFonts w:cs="Arial"/>
        </w:rPr>
        <w:t xml:space="preserve">Do you or any related party have any other interest, which might conflict, or might be perceived to conflict, with your duty of loyalty to the interests of </w:t>
      </w:r>
      <w:r>
        <w:rPr>
          <w:rFonts w:cs="Arial"/>
        </w:rPr>
        <w:t xml:space="preserve">[                 </w:t>
      </w:r>
      <w:proofErr w:type="gramStart"/>
      <w:r>
        <w:rPr>
          <w:rFonts w:cs="Arial"/>
        </w:rPr>
        <w:t xml:space="preserve">  ]</w:t>
      </w:r>
      <w:proofErr w:type="gramEnd"/>
      <w:r w:rsidRPr="00FB6CFF">
        <w:rPr>
          <w:rFonts w:cs="Arial"/>
        </w:rPr>
        <w:t>?</w:t>
      </w:r>
    </w:p>
    <w:p w14:paraId="021B2AF6" w14:textId="77777777" w:rsidR="00575269" w:rsidRPr="00FB6CFF" w:rsidRDefault="00575269" w:rsidP="0068525B">
      <w:pPr>
        <w:rPr>
          <w:rFonts w:cs="Arial"/>
        </w:rPr>
      </w:pPr>
      <w:r w:rsidRPr="00FB6CFF">
        <w:rPr>
          <w:rFonts w:cs="Arial"/>
        </w:rPr>
        <w:t>________________________________________________________________</w:t>
      </w:r>
    </w:p>
    <w:p w14:paraId="674BC91A" w14:textId="77777777" w:rsidR="00575269" w:rsidRPr="00FB6CFF" w:rsidRDefault="00575269" w:rsidP="0068525B">
      <w:pPr>
        <w:rPr>
          <w:rFonts w:cs="Arial"/>
        </w:rPr>
      </w:pPr>
      <w:r w:rsidRPr="00FB6CFF">
        <w:rPr>
          <w:rFonts w:cs="Arial"/>
        </w:rPr>
        <w:t>__________________________________________________________________</w:t>
      </w:r>
      <w:r>
        <w:rPr>
          <w:rFonts w:cs="Arial"/>
        </w:rPr>
        <w:t>______________________________________________________________</w:t>
      </w:r>
      <w:r w:rsidRPr="00FB6CFF">
        <w:rPr>
          <w:rFonts w:cs="Arial"/>
        </w:rPr>
        <w:t xml:space="preserve">  </w:t>
      </w:r>
    </w:p>
    <w:p w14:paraId="616ECAF4" w14:textId="77777777" w:rsidR="00575269" w:rsidRPr="00FB6CFF" w:rsidRDefault="00575269" w:rsidP="0068525B">
      <w:pPr>
        <w:rPr>
          <w:rFonts w:cs="Arial"/>
        </w:rPr>
      </w:pPr>
      <w:r w:rsidRPr="00FB6CFF">
        <w:rPr>
          <w:rFonts w:cs="Arial"/>
        </w:rPr>
        <w:t> </w:t>
      </w:r>
    </w:p>
    <w:p w14:paraId="726CE1AE" w14:textId="77777777" w:rsidR="00575269" w:rsidRPr="00FB6CFF" w:rsidRDefault="00575269" w:rsidP="0068525B">
      <w:pPr>
        <w:rPr>
          <w:rFonts w:cs="Arial"/>
        </w:rPr>
      </w:pPr>
      <w:r w:rsidRPr="00FB6CFF">
        <w:rPr>
          <w:rFonts w:cs="Arial"/>
        </w:rPr>
        <w:t xml:space="preserve">The answers to the foregoing are accurate to the best of my knowledge and belief, and I will promptly notify the Executive Director of </w:t>
      </w:r>
      <w:r>
        <w:rPr>
          <w:rFonts w:cs="Arial"/>
        </w:rPr>
        <w:t xml:space="preserve">[                     </w:t>
      </w:r>
      <w:proofErr w:type="gramStart"/>
      <w:r>
        <w:rPr>
          <w:rFonts w:cs="Arial"/>
        </w:rPr>
        <w:t xml:space="preserve">  ]</w:t>
      </w:r>
      <w:proofErr w:type="gramEnd"/>
      <w:r w:rsidRPr="00FB6CFF">
        <w:rPr>
          <w:rFonts w:cs="Arial"/>
        </w:rPr>
        <w:t xml:space="preserve"> of any change, which would make any of the answers no longer accurate.</w:t>
      </w:r>
    </w:p>
    <w:p w14:paraId="561AD7C1" w14:textId="77777777" w:rsidR="00575269" w:rsidRPr="00FB6CFF" w:rsidRDefault="00575269" w:rsidP="0068525B">
      <w:pPr>
        <w:spacing w:before="100" w:beforeAutospacing="1" w:after="100" w:afterAutospacing="1"/>
        <w:rPr>
          <w:rFonts w:cs="Arial"/>
        </w:rPr>
      </w:pPr>
      <w:r w:rsidRPr="00FB6CFF">
        <w:rPr>
          <w:rFonts w:cs="Arial"/>
        </w:rPr>
        <w:t> </w:t>
      </w:r>
    </w:p>
    <w:p w14:paraId="5ED3F794" w14:textId="77777777" w:rsidR="00575269" w:rsidRPr="00FB6CFF" w:rsidRDefault="00575269" w:rsidP="0068525B">
      <w:pPr>
        <w:rPr>
          <w:rFonts w:cs="Arial"/>
        </w:rPr>
      </w:pPr>
      <w:proofErr w:type="gramStart"/>
      <w:r w:rsidRPr="00FB6CFF">
        <w:rPr>
          <w:rFonts w:cs="Arial"/>
        </w:rPr>
        <w:t>Date:_</w:t>
      </w:r>
      <w:proofErr w:type="gramEnd"/>
      <w:r w:rsidRPr="00FB6CFF">
        <w:rPr>
          <w:rFonts w:cs="Arial"/>
        </w:rPr>
        <w:t>_________              Signature:_______________________</w:t>
      </w:r>
      <w:r>
        <w:rPr>
          <w:rFonts w:cs="Arial"/>
        </w:rPr>
        <w:t>_________</w:t>
      </w:r>
      <w:r w:rsidRPr="00FB6CFF">
        <w:rPr>
          <w:rFonts w:cs="Arial"/>
        </w:rPr>
        <w:t>___</w:t>
      </w:r>
    </w:p>
    <w:p w14:paraId="04CDDB43" w14:textId="77777777" w:rsidR="00575269" w:rsidRDefault="00575269" w:rsidP="0068525B">
      <w:pPr>
        <w:tabs>
          <w:tab w:val="left" w:pos="2880"/>
        </w:tabs>
        <w:rPr>
          <w:rFonts w:cs="Arial"/>
        </w:rPr>
      </w:pPr>
    </w:p>
    <w:p w14:paraId="68613B6E" w14:textId="77777777" w:rsidR="00575269" w:rsidRPr="00FB6CFF" w:rsidRDefault="00575269" w:rsidP="0068525B">
      <w:pPr>
        <w:tabs>
          <w:tab w:val="left" w:pos="2880"/>
        </w:tabs>
        <w:rPr>
          <w:rFonts w:cs="Arial"/>
        </w:rPr>
      </w:pPr>
      <w:r w:rsidRPr="00FB6CFF">
        <w:rPr>
          <w:rFonts w:cs="Arial"/>
        </w:rPr>
        <w:t> </w:t>
      </w:r>
      <w:r>
        <w:rPr>
          <w:rFonts w:cs="Arial"/>
        </w:rPr>
        <w:tab/>
        <w:t xml:space="preserve">Print </w:t>
      </w:r>
      <w:proofErr w:type="gramStart"/>
      <w:r>
        <w:rPr>
          <w:rFonts w:cs="Arial"/>
        </w:rPr>
        <w:t>Name:_</w:t>
      </w:r>
      <w:proofErr w:type="gramEnd"/>
      <w:r>
        <w:rPr>
          <w:rFonts w:cs="Arial"/>
        </w:rPr>
        <w:t>________________________________</w:t>
      </w:r>
    </w:p>
    <w:p w14:paraId="7531DD99" w14:textId="77777777" w:rsidR="00575269" w:rsidRDefault="00575269" w:rsidP="0068525B">
      <w:pPr>
        <w:rPr>
          <w:rStyle w:val="apple-style-span"/>
          <w:rFonts w:cs="Arial"/>
        </w:rPr>
      </w:pPr>
    </w:p>
    <w:p w14:paraId="150F3357" w14:textId="77777777" w:rsidR="00575269" w:rsidRDefault="00575269" w:rsidP="0068525B">
      <w:pPr>
        <w:rPr>
          <w:rStyle w:val="apple-style-span"/>
          <w:rFonts w:cs="Arial"/>
        </w:rPr>
      </w:pPr>
      <w:r w:rsidRPr="00FB6CFF">
        <w:rPr>
          <w:rStyle w:val="apple-style-span"/>
          <w:rFonts w:cs="Arial"/>
        </w:rPr>
        <w:t>[1] For this purpose, a “related party” is defined as members of your immediate family, which includes your spouse, children, siblings, and parents; estates, trusts, partnerships, limited liability companies, corporations and other entities in which you or any member of your immediate family has a present or vested future beneficial interest or serves as an officer, director, or trustee, other than entities in which you and your immediate family members in the aggregate own less than five percent in value of all traded securities.</w:t>
      </w:r>
    </w:p>
    <w:p w14:paraId="033154B8" w14:textId="77777777" w:rsidR="00575269" w:rsidRDefault="00575269" w:rsidP="0068525B">
      <w:pPr>
        <w:rPr>
          <w:rStyle w:val="apple-style-span"/>
          <w:rFonts w:cs="Arial"/>
        </w:rPr>
      </w:pPr>
    </w:p>
    <w:p w14:paraId="168BCE98" w14:textId="77777777" w:rsidR="00575269" w:rsidRDefault="00575269" w:rsidP="0068525B">
      <w:pPr>
        <w:rPr>
          <w:rStyle w:val="apple-style-span"/>
          <w:rFonts w:cs="Arial"/>
        </w:rPr>
      </w:pPr>
      <w:r>
        <w:rPr>
          <w:rStyle w:val="apple-style-span"/>
          <w:rFonts w:cs="Arial"/>
        </w:rPr>
        <w:t>The foregoing Conflict of Interest Policy was adopted by the Directors of the Corporation, effective the _______ day of _____________, 20__</w:t>
      </w:r>
      <w:bookmarkStart w:id="0" w:name="OpenAt"/>
      <w:bookmarkEnd w:id="0"/>
      <w:r>
        <w:rPr>
          <w:rStyle w:val="apple-style-span"/>
          <w:rFonts w:cs="Arial"/>
        </w:rPr>
        <w:t>.</w:t>
      </w:r>
    </w:p>
    <w:p w14:paraId="0C815618" w14:textId="77777777" w:rsidR="00575269" w:rsidRDefault="00575269" w:rsidP="0068525B">
      <w:pPr>
        <w:rPr>
          <w:rFonts w:cs="Arial"/>
        </w:rPr>
      </w:pPr>
    </w:p>
    <w:p w14:paraId="58D09C07" w14:textId="77777777" w:rsidR="00575269" w:rsidRDefault="00575269" w:rsidP="0068525B">
      <w:pPr>
        <w:rPr>
          <w:rFonts w:cs="Arial"/>
        </w:rPr>
      </w:pPr>
    </w:p>
    <w:p w14:paraId="55FE930E" w14:textId="77777777" w:rsidR="00575269" w:rsidRDefault="00575269" w:rsidP="0068525B">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________________________</w:t>
      </w:r>
    </w:p>
    <w:p w14:paraId="225C6A1D" w14:textId="77777777" w:rsidR="00575269" w:rsidRPr="00FB6CFF" w:rsidRDefault="00575269" w:rsidP="0068525B">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Secretary of the Corporation</w:t>
      </w:r>
    </w:p>
    <w:p w14:paraId="51F6FFAC" w14:textId="77777777" w:rsidR="007B1FE2" w:rsidRPr="00B14028" w:rsidRDefault="007B1FE2" w:rsidP="005C23D1"/>
    <w:sectPr w:rsidR="007B1FE2" w:rsidRPr="00B14028" w:rsidSect="007B1FE2">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36861" w14:textId="77777777" w:rsidR="001E4B34" w:rsidRDefault="001E4B34">
      <w:r>
        <w:separator/>
      </w:r>
    </w:p>
  </w:endnote>
  <w:endnote w:type="continuationSeparator" w:id="0">
    <w:p w14:paraId="48BB16BC" w14:textId="77777777" w:rsidR="001E4B34" w:rsidRDefault="001E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8E1" w14:textId="4FDD65F8" w:rsidR="00207E42" w:rsidRDefault="00207E42" w:rsidP="007B1FE2">
    <w:pPr>
      <w:pStyle w:val="Footer"/>
      <w:rPr>
        <w:rStyle w:val="PageNumber"/>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3D2B" w14:textId="77777777" w:rsidR="00207E42" w:rsidRDefault="00207E42" w:rsidP="007B1FE2">
    <w:pPr>
      <w:pStyle w:val="Footer"/>
    </w:pPr>
    <w:r>
      <w:tab/>
    </w:r>
  </w:p>
  <w:p w14:paraId="66A680F9" w14:textId="77777777" w:rsidR="00207E42" w:rsidRPr="001A77D7" w:rsidRDefault="0092721C" w:rsidP="001A77D7">
    <w:pPr>
      <w:pStyle w:val="DocID"/>
    </w:pPr>
    <w:r>
      <w:t>46566385.1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3B991" w14:textId="77777777" w:rsidR="001E4B34" w:rsidRDefault="001E4B34">
      <w:r>
        <w:separator/>
      </w:r>
    </w:p>
  </w:footnote>
  <w:footnote w:type="continuationSeparator" w:id="0">
    <w:p w14:paraId="2A278C01" w14:textId="77777777" w:rsidR="001E4B34" w:rsidRDefault="001E4B34">
      <w:r>
        <w:continuationSeparator/>
      </w:r>
    </w:p>
  </w:footnote>
  <w:footnote w:id="1">
    <w:p w14:paraId="0E7403C5" w14:textId="77777777" w:rsidR="00207E42" w:rsidRPr="007A0CAC" w:rsidRDefault="00207E42">
      <w:pPr>
        <w:pStyle w:val="FootnoteText"/>
      </w:pPr>
      <w:r>
        <w:rPr>
          <w:rStyle w:val="FootnoteReference"/>
        </w:rPr>
        <w:footnoteRef/>
      </w:r>
      <w:r>
        <w:t xml:space="preserve"> </w:t>
      </w:r>
      <w:r w:rsidRPr="00DB6C79">
        <w:t xml:space="preserve">Written approval of </w:t>
      </w:r>
      <w:r w:rsidRPr="007A0CAC">
        <w:t xml:space="preserve">the Compliance Committee required </w:t>
      </w:r>
      <w:r>
        <w:t>before</w:t>
      </w:r>
      <w:r w:rsidRPr="007A0CAC">
        <w:t xml:space="preserve"> disposal or destruction.  </w:t>
      </w:r>
    </w:p>
  </w:footnote>
  <w:footnote w:id="2">
    <w:p w14:paraId="13C15BBC" w14:textId="77777777" w:rsidR="00207E42" w:rsidRPr="00DB6C79" w:rsidRDefault="00207E42">
      <w:pPr>
        <w:pStyle w:val="FootnoteText"/>
      </w:pPr>
      <w:r w:rsidRPr="007A0CAC">
        <w:rPr>
          <w:rStyle w:val="FootnoteReference"/>
        </w:rPr>
        <w:footnoteRef/>
      </w:r>
      <w:r>
        <w:t xml:space="preserve"> </w:t>
      </w:r>
      <w:r w:rsidRPr="007A0CAC">
        <w:t xml:space="preserve">Records must be maintained until tax losses have been utilized, examined by the IRS or the statute of limitations has expired.  Written approval of the Compliance Committee required </w:t>
      </w:r>
      <w:r>
        <w:t>before</w:t>
      </w:r>
      <w:r w:rsidRPr="007A0CAC">
        <w:t xml:space="preserve"> disposal or destruction.</w:t>
      </w:r>
      <w:r>
        <w:t xml:space="preserve">  </w:t>
      </w:r>
    </w:p>
  </w:footnote>
  <w:footnote w:id="3">
    <w:p w14:paraId="7BE8F37D" w14:textId="77777777" w:rsidR="00207E42" w:rsidRPr="00CB2915" w:rsidRDefault="00207E42">
      <w:pPr>
        <w:pStyle w:val="FootnoteText"/>
      </w:pPr>
      <w:r>
        <w:rPr>
          <w:rStyle w:val="FootnoteReference"/>
        </w:rPr>
        <w:footnoteRef/>
      </w:r>
      <w:r>
        <w:t xml:space="preserve"> </w:t>
      </w:r>
      <w:r w:rsidRPr="00CB2915">
        <w:t xml:space="preserve">Written approval of </w:t>
      </w:r>
      <w:r w:rsidRPr="007A0CAC">
        <w:t>the Compliance Committee required</w:t>
      </w:r>
      <w:r w:rsidRPr="00CB2915">
        <w:t xml:space="preserve"> </w:t>
      </w:r>
      <w:r>
        <w:t>before</w:t>
      </w:r>
      <w:r w:rsidRPr="00CB2915">
        <w:t xml:space="preserve"> disposal or destruction.</w:t>
      </w:r>
      <w:r>
        <w:t xml:space="preserve">  </w:t>
      </w:r>
    </w:p>
  </w:footnote>
  <w:footnote w:id="4">
    <w:p w14:paraId="32D20B75" w14:textId="77777777" w:rsidR="00207E42" w:rsidRPr="00C34597" w:rsidRDefault="00207E42">
      <w:pPr>
        <w:pStyle w:val="FootnoteText"/>
      </w:pPr>
      <w:r>
        <w:rPr>
          <w:rStyle w:val="FootnoteReference"/>
        </w:rPr>
        <w:footnoteRef/>
      </w:r>
      <w:r>
        <w:t xml:space="preserve"> </w:t>
      </w:r>
      <w:r w:rsidRPr="00C34597">
        <w:t xml:space="preserve">Records must be maintained until tax losses have been utilized examined by the IRS or the statute of limitations has expired. </w:t>
      </w:r>
      <w:r>
        <w:t xml:space="preserve"> </w:t>
      </w:r>
      <w:r w:rsidRPr="00C34597">
        <w:t xml:space="preserve">Written approval of the </w:t>
      </w:r>
      <w:r w:rsidRPr="007A0CAC">
        <w:t>Compliance Committee required</w:t>
      </w:r>
      <w:r w:rsidRPr="00C34597">
        <w:t xml:space="preserve"> </w:t>
      </w:r>
      <w:r>
        <w:t>before</w:t>
      </w:r>
      <w:r w:rsidRPr="00C34597">
        <w:t xml:space="preserve"> disposal or destruction.</w:t>
      </w:r>
      <w:r>
        <w:t xml:space="preserve">  </w:t>
      </w:r>
    </w:p>
  </w:footnote>
  <w:footnote w:id="5">
    <w:p w14:paraId="3F0E4386" w14:textId="77777777" w:rsidR="00207E42" w:rsidRPr="002A2C44" w:rsidRDefault="00207E42">
      <w:pPr>
        <w:pStyle w:val="FootnoteText"/>
      </w:pPr>
      <w:r>
        <w:rPr>
          <w:rStyle w:val="FootnoteReference"/>
        </w:rPr>
        <w:footnoteRef/>
      </w:r>
      <w:r>
        <w:t xml:space="preserve"> </w:t>
      </w:r>
      <w:r w:rsidRPr="002A2C44">
        <w:t xml:space="preserve">Records must be maintained until tax losses have been utilized examined by the IRS or the statute of limitations has expired. </w:t>
      </w:r>
      <w:r>
        <w:t xml:space="preserve"> </w:t>
      </w:r>
      <w:r w:rsidRPr="002A2C44">
        <w:t xml:space="preserve">Written approval of </w:t>
      </w:r>
      <w:r>
        <w:t xml:space="preserve">the </w:t>
      </w:r>
      <w:r w:rsidRPr="00D70C5A">
        <w:t>Compliance Committee</w:t>
      </w:r>
      <w:r w:rsidRPr="002A2C44">
        <w:t xml:space="preserve"> required </w:t>
      </w:r>
      <w:r>
        <w:t>before</w:t>
      </w:r>
      <w:r w:rsidRPr="002A2C44">
        <w:t xml:space="preserve"> disposal or destruction.</w:t>
      </w:r>
      <w:r>
        <w:t xml:space="preserve">  </w:t>
      </w:r>
    </w:p>
  </w:footnote>
  <w:footnote w:id="6">
    <w:p w14:paraId="2141321D" w14:textId="77777777" w:rsidR="00207E42" w:rsidRPr="002A2C44" w:rsidRDefault="00207E42">
      <w:pPr>
        <w:pStyle w:val="FootnoteText"/>
      </w:pPr>
      <w:r>
        <w:rPr>
          <w:rStyle w:val="FootnoteReference"/>
        </w:rPr>
        <w:footnoteRef/>
      </w:r>
      <w:r>
        <w:t xml:space="preserve"> </w:t>
      </w:r>
      <w:r w:rsidRPr="002A2C44">
        <w:t xml:space="preserve">This represents the estimated retention period for storage planning purposes. </w:t>
      </w:r>
      <w:r>
        <w:t xml:space="preserve"> </w:t>
      </w:r>
      <w:r w:rsidRPr="002A2C44">
        <w:t xml:space="preserve">Actual retention will be based on the specific statute of limitations governing each return and the necessity to keep documents for years that remain open pending settlement with the taxing authorities. </w:t>
      </w:r>
      <w:r>
        <w:t xml:space="preserve"> </w:t>
      </w:r>
      <w:r w:rsidRPr="002A2C44">
        <w:t xml:space="preserve">The </w:t>
      </w:r>
      <w:r w:rsidRPr="007A0CAC">
        <w:t>Compliance Committee</w:t>
      </w:r>
      <w:r w:rsidRPr="002A2C44">
        <w:t xml:space="preserve"> will annually issue a directive outlining the specific years that can be discarded or destroyed.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0844C" w14:textId="77777777" w:rsidR="00207E42" w:rsidRPr="00091BF5" w:rsidRDefault="00207E42" w:rsidP="00091BF5">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C0E6A92"/>
    <w:lvl w:ilvl="0">
      <w:start w:val="1"/>
      <w:numFmt w:val="bullet"/>
      <w:pStyle w:val="ListBullet"/>
      <w:lvlText w:val=""/>
      <w:lvlJc w:val="left"/>
      <w:pPr>
        <w:tabs>
          <w:tab w:val="num" w:pos="360"/>
        </w:tabs>
        <w:ind w:left="360" w:hanging="360"/>
      </w:pPr>
      <w:rPr>
        <w:rFonts w:ascii="Symbol" w:hAnsi="Symbol" w:hint="default"/>
        <w:b w:val="0"/>
        <w:i w:val="0"/>
        <w:color w:val="auto"/>
        <w:kern w:val="0"/>
        <w:sz w:val="22"/>
        <w:szCs w:val="22"/>
        <w:u w:val="none"/>
      </w:rPr>
    </w:lvl>
  </w:abstractNum>
  <w:abstractNum w:abstractNumId="1" w15:restartNumberingAfterBreak="0">
    <w:nsid w:val="044D1F0C"/>
    <w:multiLevelType w:val="multilevel"/>
    <w:tmpl w:val="82101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92795"/>
    <w:multiLevelType w:val="multilevel"/>
    <w:tmpl w:val="1ECCCDA4"/>
    <w:lvl w:ilvl="0">
      <w:start w:val="1"/>
      <w:numFmt w:val="upperRoman"/>
      <w:pStyle w:val="Heading1"/>
      <w:lvlText w:val="%1."/>
      <w:lvlJc w:val="left"/>
      <w:pPr>
        <w:tabs>
          <w:tab w:val="num" w:pos="720"/>
        </w:tabs>
        <w:ind w:left="720" w:hanging="720"/>
      </w:pPr>
      <w:rPr>
        <w:rFonts w:ascii="Arial" w:hAnsi="Arial" w:hint="default"/>
        <w:b/>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0" w:firstLine="720"/>
      </w:pPr>
      <w:rPr>
        <w:rFonts w:ascii="Arial" w:hAnsi="Arial" w:hint="default"/>
        <w:b/>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160"/>
        </w:tabs>
        <w:ind w:left="2160" w:hanging="720"/>
      </w:pPr>
      <w:rPr>
        <w:rFonts w:ascii="Arial" w:hAnsi="Arial" w:hint="default"/>
        <w:b w:val="0"/>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880"/>
        </w:tabs>
        <w:ind w:left="2880" w:hanging="720"/>
      </w:pPr>
      <w:rPr>
        <w:rFonts w:ascii="Arial" w:hAnsi="Arial" w:hint="default"/>
        <w:b w:val="0"/>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3600" w:hanging="720"/>
      </w:pPr>
      <w:rPr>
        <w:rFonts w:ascii="Arial" w:hAnsi="Arial" w:hint="default"/>
        <w:b w:val="0"/>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4320"/>
        </w:tabs>
        <w:ind w:left="4320" w:hanging="720"/>
      </w:pPr>
      <w:rPr>
        <w:rFonts w:ascii="Arial" w:hAnsi="Arial" w:hint="default"/>
        <w:b w:val="0"/>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Heading7"/>
      <w:lvlText w:val="%7."/>
      <w:lvlJc w:val="left"/>
      <w:pPr>
        <w:tabs>
          <w:tab w:val="num" w:pos="360"/>
        </w:tabs>
        <w:ind w:left="360" w:hanging="360"/>
      </w:pPr>
      <w:rPr>
        <w:rFonts w:ascii="Arial" w:hAnsi="Arial" w:hint="default"/>
        <w:b/>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8."/>
      <w:lvlJc w:val="left"/>
      <w:pPr>
        <w:tabs>
          <w:tab w:val="num" w:pos="360"/>
        </w:tabs>
        <w:ind w:left="360" w:hanging="360"/>
      </w:pPr>
      <w:rPr>
        <w:rFonts w:ascii="Arial" w:hAnsi="Arial" w:hint="default"/>
        <w:b w:val="0"/>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Heading9"/>
      <w:lvlText w:val="%9."/>
      <w:lvlJc w:val="left"/>
      <w:pPr>
        <w:tabs>
          <w:tab w:val="num" w:pos="720"/>
        </w:tabs>
        <w:ind w:left="720" w:hanging="360"/>
      </w:pPr>
      <w:rPr>
        <w:rFonts w:ascii="Arial" w:hAnsi="Arial" w:hint="default"/>
        <w:b w:val="0"/>
        <w:i w:val="0"/>
        <w:caps w:val="0"/>
        <w:smallCaps w:val="0"/>
        <w:strike w:val="0"/>
        <w:dstrike w:val="0"/>
        <w:vanish w:val="0"/>
        <w:color w:val="auto"/>
        <w:w w:val="100"/>
        <w:kern w:val="0"/>
        <w:sz w:val="22"/>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1D06FE0"/>
    <w:multiLevelType w:val="hybridMultilevel"/>
    <w:tmpl w:val="72B4E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078BB"/>
    <w:multiLevelType w:val="multilevel"/>
    <w:tmpl w:val="F2DEC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E357E"/>
    <w:multiLevelType w:val="multilevel"/>
    <w:tmpl w:val="BABA13C2"/>
    <w:lvl w:ilvl="0">
      <w:start w:val="1"/>
      <w:numFmt w:val="bullet"/>
      <w:lvlText w:val=""/>
      <w:lvlJc w:val="left"/>
      <w:pPr>
        <w:tabs>
          <w:tab w:val="num" w:pos="720"/>
        </w:tabs>
        <w:ind w:left="720" w:hanging="360"/>
      </w:pPr>
      <w:rPr>
        <w:rFonts w:ascii="Wingdings 2" w:hAnsi="Wingdings 2"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6511B5"/>
    <w:multiLevelType w:val="multilevel"/>
    <w:tmpl w:val="FF4832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114F2"/>
    <w:multiLevelType w:val="hybridMultilevel"/>
    <w:tmpl w:val="5852B9C2"/>
    <w:lvl w:ilvl="0" w:tplc="E216F234">
      <w:start w:val="1"/>
      <w:numFmt w:val="bullet"/>
      <w:pStyle w:val="ListBullet2"/>
      <w:lvlText w:val=""/>
      <w:lvlJc w:val="left"/>
      <w:pPr>
        <w:tabs>
          <w:tab w:val="num" w:pos="720"/>
        </w:tabs>
        <w:ind w:left="720" w:hanging="360"/>
      </w:pPr>
      <w:rPr>
        <w:rFonts w:ascii="Wingdings 2" w:hAnsi="Wingdings 2" w:hint="default"/>
        <w:b w:val="0"/>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DA49B3"/>
    <w:multiLevelType w:val="multilevel"/>
    <w:tmpl w:val="B79A3A94"/>
    <w:lvl w:ilvl="0">
      <w:start w:val="1"/>
      <w:numFmt w:val="decimal"/>
      <w:pStyle w:val="ListNum"/>
      <w:lvlText w:val="%1."/>
      <w:lvlJc w:val="left"/>
      <w:pPr>
        <w:tabs>
          <w:tab w:val="num" w:pos="1440"/>
        </w:tabs>
        <w:ind w:left="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72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144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216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288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360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432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6480"/>
        </w:tabs>
        <w:ind w:left="504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lvlText w:val="(%9)"/>
      <w:lvlJc w:val="left"/>
      <w:pPr>
        <w:tabs>
          <w:tab w:val="num" w:pos="7200"/>
        </w:tabs>
        <w:ind w:left="5760" w:firstLine="720"/>
      </w:pPr>
      <w:rPr>
        <w:rFonts w:ascii="Times New Roman" w:hAnsi="Times New Roman" w:hint="default"/>
        <w:b w:val="0"/>
        <w:i w:val="0"/>
        <w:caps w:val="0"/>
        <w:strike w:val="0"/>
        <w:dstrike w:val="0"/>
        <w:vanish w:val="0"/>
        <w:color w:val="auto"/>
        <w:w w:val="100"/>
        <w:kern w:val="0"/>
        <w:sz w:val="24"/>
        <w:szCs w:val="24"/>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D80697"/>
    <w:multiLevelType w:val="multilevel"/>
    <w:tmpl w:val="00E23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21A72"/>
    <w:multiLevelType w:val="multilevel"/>
    <w:tmpl w:val="7A20B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34658">
    <w:abstractNumId w:val="0"/>
  </w:num>
  <w:num w:numId="2" w16cid:durableId="50085393">
    <w:abstractNumId w:val="8"/>
  </w:num>
  <w:num w:numId="3" w16cid:durableId="1231232546">
    <w:abstractNumId w:val="2"/>
  </w:num>
  <w:num w:numId="4" w16cid:durableId="1807966033">
    <w:abstractNumId w:val="7"/>
  </w:num>
  <w:num w:numId="5" w16cid:durableId="1510752729">
    <w:abstractNumId w:val="5"/>
  </w:num>
  <w:num w:numId="6" w16cid:durableId="1064638873">
    <w:abstractNumId w:val="1"/>
  </w:num>
  <w:num w:numId="7" w16cid:durableId="680012696">
    <w:abstractNumId w:val="10"/>
  </w:num>
  <w:num w:numId="8" w16cid:durableId="391391557">
    <w:abstractNumId w:val="4"/>
  </w:num>
  <w:num w:numId="9" w16cid:durableId="1864322699">
    <w:abstractNumId w:val="9"/>
  </w:num>
  <w:num w:numId="10" w16cid:durableId="2104254868">
    <w:abstractNumId w:val="6"/>
  </w:num>
  <w:num w:numId="11" w16cid:durableId="9940641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27"/>
    <w:rsid w:val="000064F9"/>
    <w:rsid w:val="0004550A"/>
    <w:rsid w:val="00047E65"/>
    <w:rsid w:val="000737F9"/>
    <w:rsid w:val="00091BF5"/>
    <w:rsid w:val="000939D5"/>
    <w:rsid w:val="0009566F"/>
    <w:rsid w:val="00096D6F"/>
    <w:rsid w:val="000D58C4"/>
    <w:rsid w:val="000E5D9A"/>
    <w:rsid w:val="00104DFA"/>
    <w:rsid w:val="00112F5E"/>
    <w:rsid w:val="001A77D7"/>
    <w:rsid w:val="001E260A"/>
    <w:rsid w:val="001E4B34"/>
    <w:rsid w:val="00207E42"/>
    <w:rsid w:val="0022658C"/>
    <w:rsid w:val="00226BD1"/>
    <w:rsid w:val="00236071"/>
    <w:rsid w:val="0025131A"/>
    <w:rsid w:val="002A2C44"/>
    <w:rsid w:val="002B520E"/>
    <w:rsid w:val="002D30EC"/>
    <w:rsid w:val="003521D2"/>
    <w:rsid w:val="003C7436"/>
    <w:rsid w:val="00447918"/>
    <w:rsid w:val="00496A6D"/>
    <w:rsid w:val="004B0594"/>
    <w:rsid w:val="004C1E4C"/>
    <w:rsid w:val="004D6F66"/>
    <w:rsid w:val="004F4A27"/>
    <w:rsid w:val="005221AB"/>
    <w:rsid w:val="00572685"/>
    <w:rsid w:val="00575269"/>
    <w:rsid w:val="005C23D1"/>
    <w:rsid w:val="005F004D"/>
    <w:rsid w:val="00602D18"/>
    <w:rsid w:val="006968B1"/>
    <w:rsid w:val="006E54FD"/>
    <w:rsid w:val="007009E7"/>
    <w:rsid w:val="00710F98"/>
    <w:rsid w:val="00752424"/>
    <w:rsid w:val="0078052E"/>
    <w:rsid w:val="0079408F"/>
    <w:rsid w:val="007A0CAC"/>
    <w:rsid w:val="007B1FE2"/>
    <w:rsid w:val="007D1F50"/>
    <w:rsid w:val="007F2A66"/>
    <w:rsid w:val="00852259"/>
    <w:rsid w:val="008A6B98"/>
    <w:rsid w:val="0092721C"/>
    <w:rsid w:val="00A96272"/>
    <w:rsid w:val="00AE1E6B"/>
    <w:rsid w:val="00B14028"/>
    <w:rsid w:val="00B24470"/>
    <w:rsid w:val="00B50695"/>
    <w:rsid w:val="00B8122A"/>
    <w:rsid w:val="00B85B88"/>
    <w:rsid w:val="00B95E5A"/>
    <w:rsid w:val="00C34597"/>
    <w:rsid w:val="00C673B4"/>
    <w:rsid w:val="00C71261"/>
    <w:rsid w:val="00C74603"/>
    <w:rsid w:val="00C75916"/>
    <w:rsid w:val="00CB2915"/>
    <w:rsid w:val="00CD039F"/>
    <w:rsid w:val="00CE1E1B"/>
    <w:rsid w:val="00CE1E71"/>
    <w:rsid w:val="00CE6A06"/>
    <w:rsid w:val="00D34C61"/>
    <w:rsid w:val="00D70C5A"/>
    <w:rsid w:val="00DB6C79"/>
    <w:rsid w:val="00E01D30"/>
    <w:rsid w:val="00E33813"/>
    <w:rsid w:val="00E52BFD"/>
    <w:rsid w:val="00E767C6"/>
    <w:rsid w:val="00EB7714"/>
    <w:rsid w:val="00EE2A56"/>
    <w:rsid w:val="00EE5790"/>
    <w:rsid w:val="00EF4A70"/>
    <w:rsid w:val="00F1273C"/>
    <w:rsid w:val="00F258CC"/>
    <w:rsid w:val="00F5416F"/>
    <w:rsid w:val="00F772D7"/>
    <w:rsid w:val="00FB444A"/>
    <w:rsid w:val="00FF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D5A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F4A27"/>
    <w:pPr>
      <w:jc w:val="both"/>
    </w:pPr>
    <w:rPr>
      <w:rFonts w:ascii="Arial" w:hAnsi="Arial"/>
      <w:sz w:val="22"/>
      <w:szCs w:val="24"/>
    </w:rPr>
  </w:style>
  <w:style w:type="paragraph" w:styleId="Heading1">
    <w:name w:val="heading 1"/>
    <w:basedOn w:val="Normal"/>
    <w:qFormat/>
    <w:rsid w:val="004D6F66"/>
    <w:pPr>
      <w:keepNext/>
      <w:numPr>
        <w:numId w:val="3"/>
      </w:numPr>
      <w:spacing w:after="240"/>
      <w:outlineLvl w:val="0"/>
    </w:pPr>
    <w:rPr>
      <w:b/>
      <w:szCs w:val="20"/>
      <w:u w:val="single"/>
    </w:rPr>
  </w:style>
  <w:style w:type="paragraph" w:styleId="Heading2">
    <w:name w:val="heading 2"/>
    <w:basedOn w:val="Normal"/>
    <w:qFormat/>
    <w:rsid w:val="000737F9"/>
    <w:pPr>
      <w:numPr>
        <w:ilvl w:val="1"/>
        <w:numId w:val="3"/>
      </w:numPr>
      <w:spacing w:after="240"/>
      <w:outlineLvl w:val="1"/>
    </w:pPr>
    <w:rPr>
      <w:szCs w:val="20"/>
    </w:rPr>
  </w:style>
  <w:style w:type="paragraph" w:styleId="Heading3">
    <w:name w:val="heading 3"/>
    <w:basedOn w:val="Normal"/>
    <w:link w:val="Heading3Char"/>
    <w:qFormat/>
    <w:rsid w:val="000737F9"/>
    <w:pPr>
      <w:numPr>
        <w:ilvl w:val="2"/>
        <w:numId w:val="3"/>
      </w:numPr>
      <w:spacing w:after="240"/>
      <w:outlineLvl w:val="2"/>
    </w:pPr>
    <w:rPr>
      <w:szCs w:val="20"/>
    </w:rPr>
  </w:style>
  <w:style w:type="paragraph" w:styleId="Heading4">
    <w:name w:val="heading 4"/>
    <w:basedOn w:val="Normal"/>
    <w:qFormat/>
    <w:rsid w:val="000737F9"/>
    <w:pPr>
      <w:numPr>
        <w:ilvl w:val="3"/>
        <w:numId w:val="3"/>
      </w:numPr>
      <w:spacing w:after="240"/>
      <w:outlineLvl w:val="3"/>
    </w:pPr>
    <w:rPr>
      <w:szCs w:val="20"/>
    </w:rPr>
  </w:style>
  <w:style w:type="paragraph" w:styleId="Heading5">
    <w:name w:val="heading 5"/>
    <w:basedOn w:val="Normal"/>
    <w:qFormat/>
    <w:rsid w:val="000737F9"/>
    <w:pPr>
      <w:numPr>
        <w:ilvl w:val="4"/>
        <w:numId w:val="3"/>
      </w:numPr>
      <w:spacing w:after="240"/>
      <w:outlineLvl w:val="4"/>
    </w:pPr>
    <w:rPr>
      <w:szCs w:val="20"/>
    </w:rPr>
  </w:style>
  <w:style w:type="paragraph" w:styleId="Heading6">
    <w:name w:val="heading 6"/>
    <w:basedOn w:val="Normal"/>
    <w:qFormat/>
    <w:rsid w:val="000737F9"/>
    <w:pPr>
      <w:numPr>
        <w:ilvl w:val="5"/>
        <w:numId w:val="3"/>
      </w:numPr>
      <w:spacing w:after="240"/>
      <w:outlineLvl w:val="5"/>
    </w:pPr>
    <w:rPr>
      <w:szCs w:val="20"/>
    </w:rPr>
  </w:style>
  <w:style w:type="paragraph" w:styleId="Heading7">
    <w:name w:val="heading 7"/>
    <w:basedOn w:val="Normal"/>
    <w:qFormat/>
    <w:rsid w:val="00DB6C79"/>
    <w:pPr>
      <w:numPr>
        <w:ilvl w:val="6"/>
        <w:numId w:val="3"/>
      </w:numPr>
      <w:spacing w:before="240"/>
      <w:jc w:val="left"/>
      <w:outlineLvl w:val="6"/>
    </w:pPr>
    <w:rPr>
      <w:b/>
      <w:szCs w:val="20"/>
    </w:rPr>
  </w:style>
  <w:style w:type="paragraph" w:styleId="Heading8">
    <w:name w:val="heading 8"/>
    <w:basedOn w:val="Normal"/>
    <w:qFormat/>
    <w:rsid w:val="00DB6C79"/>
    <w:pPr>
      <w:numPr>
        <w:ilvl w:val="7"/>
        <w:numId w:val="3"/>
      </w:numPr>
      <w:spacing w:before="240"/>
      <w:jc w:val="left"/>
      <w:outlineLvl w:val="7"/>
    </w:pPr>
    <w:rPr>
      <w:szCs w:val="20"/>
    </w:rPr>
  </w:style>
  <w:style w:type="paragraph" w:styleId="Heading9">
    <w:name w:val="heading 9"/>
    <w:basedOn w:val="Normal"/>
    <w:qFormat/>
    <w:rsid w:val="00DB6C79"/>
    <w:pPr>
      <w:numPr>
        <w:ilvl w:val="8"/>
        <w:numId w:val="3"/>
      </w:numPr>
      <w:spacing w:before="240"/>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Text">
    <w:name w:val="Address Text"/>
    <w:basedOn w:val="Normal"/>
    <w:rsid w:val="007B1FE2"/>
    <w:pPr>
      <w:keepNext/>
      <w:keepLines/>
      <w:tabs>
        <w:tab w:val="left" w:pos="4320"/>
      </w:tabs>
      <w:ind w:left="2160"/>
    </w:pPr>
  </w:style>
  <w:style w:type="paragraph" w:styleId="BlockText">
    <w:name w:val="Block Text"/>
    <w:basedOn w:val="Normal"/>
    <w:rsid w:val="007B1FE2"/>
    <w:pPr>
      <w:spacing w:after="240"/>
      <w:ind w:left="720" w:right="720"/>
    </w:pPr>
    <w:rPr>
      <w:szCs w:val="20"/>
    </w:rPr>
  </w:style>
  <w:style w:type="paragraph" w:styleId="BodyText">
    <w:name w:val="Body Text"/>
    <w:basedOn w:val="Normal"/>
    <w:link w:val="BodyTextChar"/>
    <w:rsid w:val="007B1FE2"/>
    <w:pPr>
      <w:spacing w:after="240"/>
      <w:ind w:firstLine="720"/>
    </w:pPr>
    <w:rPr>
      <w:szCs w:val="20"/>
    </w:rPr>
  </w:style>
  <w:style w:type="paragraph" w:customStyle="1" w:styleId="BodyTextCentered">
    <w:name w:val="Body Text Centered"/>
    <w:basedOn w:val="Normal"/>
    <w:rsid w:val="007B1FE2"/>
    <w:pPr>
      <w:spacing w:after="240"/>
      <w:jc w:val="center"/>
    </w:pPr>
  </w:style>
  <w:style w:type="paragraph" w:customStyle="1" w:styleId="BodyTextNoIndent">
    <w:name w:val="Body Text No Indent"/>
    <w:basedOn w:val="Normal"/>
    <w:rsid w:val="007B1FE2"/>
    <w:pPr>
      <w:spacing w:after="240"/>
    </w:pPr>
  </w:style>
  <w:style w:type="paragraph" w:customStyle="1" w:styleId="DocID">
    <w:name w:val="DocID"/>
    <w:basedOn w:val="Footer"/>
    <w:next w:val="Footer"/>
    <w:rsid w:val="001A77D7"/>
    <w:pPr>
      <w:jc w:val="left"/>
    </w:pPr>
    <w:rPr>
      <w:rFonts w:ascii="Times New Roman" w:hAnsi="Times New Roman"/>
      <w:sz w:val="16"/>
    </w:rPr>
  </w:style>
  <w:style w:type="paragraph" w:styleId="Footer">
    <w:name w:val="footer"/>
    <w:basedOn w:val="Normal"/>
    <w:rsid w:val="007B1FE2"/>
    <w:pPr>
      <w:tabs>
        <w:tab w:val="center" w:pos="4680"/>
        <w:tab w:val="right" w:pos="9360"/>
      </w:tabs>
    </w:pPr>
    <w:rPr>
      <w:szCs w:val="20"/>
    </w:rPr>
  </w:style>
  <w:style w:type="character" w:styleId="FootnoteReference">
    <w:name w:val="footnote reference"/>
    <w:basedOn w:val="DefaultParagraphFont"/>
    <w:rsid w:val="007B1FE2"/>
    <w:rPr>
      <w:vertAlign w:val="superscript"/>
    </w:rPr>
  </w:style>
  <w:style w:type="paragraph" w:styleId="FootnoteText">
    <w:name w:val="footnote text"/>
    <w:basedOn w:val="Normal"/>
    <w:semiHidden/>
    <w:rsid w:val="007B1FE2"/>
    <w:pPr>
      <w:tabs>
        <w:tab w:val="left" w:pos="360"/>
      </w:tabs>
      <w:spacing w:after="240"/>
    </w:pPr>
    <w:rPr>
      <w:sz w:val="20"/>
      <w:szCs w:val="20"/>
    </w:rPr>
  </w:style>
  <w:style w:type="paragraph" w:styleId="Header">
    <w:name w:val="header"/>
    <w:basedOn w:val="Normal"/>
    <w:rsid w:val="007B1FE2"/>
    <w:pPr>
      <w:tabs>
        <w:tab w:val="center" w:pos="4680"/>
        <w:tab w:val="right" w:pos="9360"/>
      </w:tabs>
    </w:pPr>
    <w:rPr>
      <w:szCs w:val="20"/>
    </w:rPr>
  </w:style>
  <w:style w:type="paragraph" w:styleId="List">
    <w:name w:val="List"/>
    <w:basedOn w:val="Normal"/>
    <w:rsid w:val="007B1FE2"/>
    <w:pPr>
      <w:ind w:left="1080" w:hanging="360"/>
    </w:pPr>
  </w:style>
  <w:style w:type="paragraph" w:styleId="ListBullet">
    <w:name w:val="List Bullet"/>
    <w:basedOn w:val="Normal"/>
    <w:rsid w:val="00572685"/>
    <w:pPr>
      <w:numPr>
        <w:numId w:val="1"/>
      </w:numPr>
      <w:tabs>
        <w:tab w:val="clear" w:pos="360"/>
        <w:tab w:val="num" w:pos="2160"/>
      </w:tabs>
      <w:spacing w:after="240"/>
      <w:ind w:left="2160" w:hanging="720"/>
    </w:pPr>
  </w:style>
  <w:style w:type="paragraph" w:customStyle="1" w:styleId="ListNum">
    <w:name w:val="ListNum"/>
    <w:basedOn w:val="Normal"/>
    <w:rsid w:val="007B1FE2"/>
    <w:pPr>
      <w:numPr>
        <w:numId w:val="2"/>
      </w:numPr>
      <w:spacing w:after="240"/>
    </w:pPr>
  </w:style>
  <w:style w:type="paragraph" w:customStyle="1" w:styleId="NotaryText">
    <w:name w:val="Notary Text"/>
    <w:basedOn w:val="Normal"/>
    <w:rsid w:val="007B1FE2"/>
    <w:pPr>
      <w:keepNext/>
      <w:keepLines/>
      <w:tabs>
        <w:tab w:val="left" w:pos="2880"/>
        <w:tab w:val="left" w:pos="3060"/>
      </w:tabs>
    </w:pPr>
  </w:style>
  <w:style w:type="character" w:styleId="PageNumber">
    <w:name w:val="page number"/>
    <w:basedOn w:val="DefaultParagraphFont"/>
    <w:rsid w:val="007B1FE2"/>
  </w:style>
  <w:style w:type="paragraph" w:customStyle="1" w:styleId="SignatureBlock">
    <w:name w:val="Signature Block"/>
    <w:basedOn w:val="Normal"/>
    <w:rsid w:val="007B1FE2"/>
    <w:pPr>
      <w:keepNext/>
      <w:keepLines/>
      <w:tabs>
        <w:tab w:val="left" w:pos="5400"/>
        <w:tab w:val="left" w:pos="9360"/>
      </w:tabs>
      <w:ind w:left="4680"/>
      <w:jc w:val="left"/>
    </w:pPr>
  </w:style>
  <w:style w:type="paragraph" w:customStyle="1" w:styleId="SignatureLeft">
    <w:name w:val="Signature Left"/>
    <w:basedOn w:val="Normal"/>
    <w:rsid w:val="007B1FE2"/>
    <w:pPr>
      <w:keepNext/>
      <w:keepLines/>
      <w:tabs>
        <w:tab w:val="left" w:pos="720"/>
        <w:tab w:val="left" w:pos="4320"/>
      </w:tabs>
    </w:pPr>
  </w:style>
  <w:style w:type="paragraph" w:customStyle="1" w:styleId="TableText">
    <w:name w:val="Table Text"/>
    <w:basedOn w:val="Normal"/>
    <w:rsid w:val="007B1FE2"/>
    <w:pPr>
      <w:jc w:val="left"/>
    </w:pPr>
  </w:style>
  <w:style w:type="paragraph" w:customStyle="1" w:styleId="UNNUMBEREDHEADING1">
    <w:name w:val="UNNUMBERED HEADING 1"/>
    <w:basedOn w:val="Normal"/>
    <w:rsid w:val="00E52BFD"/>
    <w:pPr>
      <w:keepNext/>
      <w:spacing w:after="240"/>
      <w:jc w:val="center"/>
    </w:pPr>
    <w:rPr>
      <w:b/>
      <w:bCs/>
      <w:caps/>
      <w:szCs w:val="20"/>
    </w:rPr>
  </w:style>
  <w:style w:type="paragraph" w:customStyle="1" w:styleId="UnnumberedHeading2">
    <w:name w:val="Unnumbered Heading 2"/>
    <w:basedOn w:val="Normal"/>
    <w:rsid w:val="007B1FE2"/>
    <w:pPr>
      <w:keepNext/>
      <w:spacing w:after="240"/>
      <w:jc w:val="center"/>
    </w:pPr>
    <w:rPr>
      <w:b/>
      <w:bCs/>
      <w:szCs w:val="20"/>
      <w:u w:val="single"/>
    </w:rPr>
  </w:style>
  <w:style w:type="paragraph" w:customStyle="1" w:styleId="UnnumberedHeading3">
    <w:name w:val="Unnumbered Heading 3"/>
    <w:basedOn w:val="Normal"/>
    <w:rsid w:val="007B1FE2"/>
    <w:pPr>
      <w:keepNext/>
      <w:spacing w:after="240"/>
      <w:jc w:val="center"/>
    </w:pPr>
    <w:rPr>
      <w:b/>
      <w:bCs/>
      <w:i/>
      <w:iCs/>
      <w:szCs w:val="20"/>
    </w:rPr>
  </w:style>
  <w:style w:type="paragraph" w:customStyle="1" w:styleId="UnnumberedHeading4">
    <w:name w:val="Unnumbered Heading 4"/>
    <w:basedOn w:val="Normal"/>
    <w:rsid w:val="007B1FE2"/>
    <w:pPr>
      <w:keepNext/>
      <w:spacing w:after="240"/>
      <w:jc w:val="center"/>
    </w:pPr>
    <w:rPr>
      <w:szCs w:val="20"/>
      <w:u w:val="single"/>
    </w:rPr>
  </w:style>
  <w:style w:type="paragraph" w:customStyle="1" w:styleId="UnnumberedHeading5">
    <w:name w:val="Unnumbered Heading 5"/>
    <w:basedOn w:val="Normal"/>
    <w:rsid w:val="007B1FE2"/>
    <w:pPr>
      <w:keepNext/>
      <w:spacing w:after="240"/>
      <w:jc w:val="center"/>
    </w:pPr>
    <w:rPr>
      <w:szCs w:val="20"/>
    </w:rPr>
  </w:style>
  <w:style w:type="paragraph" w:customStyle="1" w:styleId="ListBullet2">
    <w:name w:val="List Bullet2"/>
    <w:basedOn w:val="Normal"/>
    <w:rsid w:val="00DB6C79"/>
    <w:pPr>
      <w:numPr>
        <w:numId w:val="4"/>
      </w:numPr>
      <w:jc w:val="left"/>
    </w:pPr>
  </w:style>
  <w:style w:type="table" w:styleId="TableGrid">
    <w:name w:val="Table Grid"/>
    <w:basedOn w:val="TableNormal"/>
    <w:rsid w:val="00CD03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75269"/>
    <w:rPr>
      <w:rFonts w:ascii="Arial" w:hAnsi="Arial"/>
      <w:sz w:val="22"/>
    </w:rPr>
  </w:style>
  <w:style w:type="character" w:customStyle="1" w:styleId="BodyTextChar">
    <w:name w:val="Body Text Char"/>
    <w:basedOn w:val="DefaultParagraphFont"/>
    <w:link w:val="BodyText"/>
    <w:rsid w:val="00575269"/>
    <w:rPr>
      <w:rFonts w:ascii="Arial" w:hAnsi="Arial"/>
      <w:sz w:val="22"/>
    </w:rPr>
  </w:style>
  <w:style w:type="character" w:customStyle="1" w:styleId="apple-style-span">
    <w:name w:val="apple-style-span"/>
    <w:basedOn w:val="DefaultParagraphFont"/>
    <w:rsid w:val="00575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2</TotalTime>
  <Pages>17</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iBlank Portrait Template</vt:lpstr>
    </vt:vector>
  </TitlesOfParts>
  <Company>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Rachel Covington</dc:creator>
  <cp:keywords>
  </cp:keywords>
  <dc:description>
  </dc:description>
  <cp:lastModifiedBy>Jim Mosquera</cp:lastModifiedBy>
  <cp:revision>4</cp:revision>
  <cp:lastPrinted>2017-10-03T16:59:00Z</cp:lastPrinted>
  <dcterms:created xsi:type="dcterms:W3CDTF">2024-10-31T23:09:00Z</dcterms:created>
  <dcterms:modified xsi:type="dcterms:W3CDTF">2024-10-31T23:11:00Z</dcterms:modified>
</cp:coreProperties>
</file>